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713"/>
        <w:gridCol w:w="577"/>
        <w:gridCol w:w="3979"/>
        <w:gridCol w:w="720"/>
        <w:gridCol w:w="720"/>
        <w:gridCol w:w="3851"/>
      </w:tblGrid>
      <w:tr w:rsidR="00AE2518" w:rsidRPr="006E7A7B" w14:paraId="20A1A264" w14:textId="77777777" w:rsidTr="004C4FD5">
        <w:trPr>
          <w:trHeight w:hRule="exact" w:val="10800"/>
          <w:jc w:val="center"/>
        </w:trPr>
        <w:tc>
          <w:tcPr>
            <w:tcW w:w="3840" w:type="dxa"/>
            <w:shd w:val="clear" w:color="auto" w:fill="auto"/>
          </w:tcPr>
          <w:p w14:paraId="252B9D4B" w14:textId="77777777" w:rsidR="0013780A" w:rsidRPr="006E7A7B" w:rsidRDefault="0013780A" w:rsidP="006E7A7B">
            <w:pPr>
              <w:pStyle w:val="Quote"/>
              <w:jc w:val="center"/>
              <w:rPr>
                <w:rFonts w:ascii="Candara" w:hAnsi="Candara"/>
                <w:b/>
                <w:iCs w:val="0"/>
                <w:sz w:val="40"/>
                <w:szCs w:val="40"/>
              </w:rPr>
            </w:pPr>
            <w:r w:rsidRPr="006E7A7B">
              <w:rPr>
                <w:rStyle w:val="QuoteChar"/>
                <w:rFonts w:ascii="Candara" w:hAnsi="Candara"/>
                <w:b/>
                <w:iCs/>
                <w:sz w:val="40"/>
                <w:szCs w:val="40"/>
              </w:rPr>
              <w:t>Program Overview</w:t>
            </w:r>
          </w:p>
          <w:p w14:paraId="153E0F74" w14:textId="5F5F6B05" w:rsidR="00F07BDE" w:rsidRPr="006E7A7B" w:rsidRDefault="00223E48" w:rsidP="006E7A7B">
            <w:pPr>
              <w:tabs>
                <w:tab w:val="left" w:pos="3960"/>
              </w:tabs>
              <w:spacing w:line="240" w:lineRule="auto"/>
              <w:jc w:val="both"/>
              <w:rPr>
                <w:rFonts w:ascii="Candara" w:hAnsi="Candara"/>
                <w:bCs/>
                <w:color w:val="auto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BF4E386" wp14:editId="66CA042E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273050</wp:posOffset>
                  </wp:positionV>
                  <wp:extent cx="992505" cy="7880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762" b="1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6DA" w:rsidRPr="006E7A7B">
              <w:rPr>
                <w:rFonts w:ascii="Candara" w:hAnsi="Candara"/>
                <w:color w:val="auto"/>
                <w:sz w:val="22"/>
                <w:szCs w:val="22"/>
              </w:rPr>
              <w:t>The Electronic Monitoring Program (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EMP</w:t>
            </w:r>
            <w:r w:rsidR="00B046DA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)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is a custody alternative program that helps </w:t>
            </w:r>
            <w:r w:rsidR="00537E42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client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s remain connected to their families and employment</w:t>
            </w:r>
            <w:r w:rsidR="003E3A9D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,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while preserving jail space in Santa Clara County</w:t>
            </w:r>
            <w:r w:rsidR="00A01D48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. 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Through the use of current technology and evidence-based practices, the Probation Department </w:t>
            </w:r>
            <w:r w:rsidR="00537E42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monitors </w:t>
            </w:r>
            <w:r w:rsidR="00DF7246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eligible and </w:t>
            </w:r>
            <w:r w:rsidR="001F79C8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suitable clients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, who would otherwise </w:t>
            </w:r>
            <w:r w:rsidR="00D37FC6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be incarcerated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, in a manner that holds them accountable for their actions and protects the community.  </w:t>
            </w:r>
            <w:r w:rsidR="00537E42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As a result, these clients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</w:t>
            </w:r>
            <w:r w:rsidR="001A49C8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may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</w:t>
            </w:r>
            <w:r w:rsidR="009C253C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remain in the community in order to 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maintain their employment </w:t>
            </w:r>
            <w:r w:rsidR="001A49C8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and/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or e</w:t>
            </w:r>
            <w:r w:rsidR="004E7C1A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ducation and begin pay</w:t>
            </w:r>
            <w:r w:rsidR="009C253C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ing</w:t>
            </w:r>
            <w:r w:rsidR="004E7C1A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victim restitution</w:t>
            </w:r>
            <w:r w:rsidR="009C253C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, if applicable</w:t>
            </w:r>
            <w:r w:rsidR="00CB66BF" w:rsidRPr="006E7A7B">
              <w:rPr>
                <w:rFonts w:ascii="Candara" w:hAnsi="Candara"/>
                <w:bCs/>
                <w:color w:val="auto"/>
                <w:sz w:val="22"/>
                <w:szCs w:val="22"/>
              </w:rPr>
              <w:t>.</w:t>
            </w:r>
          </w:p>
          <w:p w14:paraId="08E39A61" w14:textId="77777777" w:rsidR="00A01D48" w:rsidRPr="006E7A7B" w:rsidRDefault="00A01D48" w:rsidP="006E7A7B">
            <w:pPr>
              <w:tabs>
                <w:tab w:val="left" w:pos="3960"/>
              </w:tabs>
              <w:spacing w:line="240" w:lineRule="auto"/>
              <w:jc w:val="both"/>
              <w:rPr>
                <w:rFonts w:ascii="Candara" w:hAnsi="Candara"/>
                <w:bCs/>
                <w:color w:val="auto"/>
                <w:sz w:val="22"/>
                <w:szCs w:val="22"/>
              </w:rPr>
            </w:pPr>
            <w:r w:rsidRPr="006E7A7B">
              <w:rPr>
                <w:rStyle w:val="Heading1Char"/>
                <w:rFonts w:ascii="Candara" w:eastAsia="Cambria" w:hAnsi="Candara"/>
                <w:b w:val="0"/>
                <w:color w:val="auto"/>
                <w:sz w:val="22"/>
                <w:szCs w:val="22"/>
              </w:rPr>
              <w:t xml:space="preserve">The Santa Clara County </w:t>
            </w:r>
            <w:r w:rsidR="00124CB5" w:rsidRPr="006E7A7B">
              <w:rPr>
                <w:rStyle w:val="Heading1Char"/>
                <w:rFonts w:ascii="Candara" w:eastAsia="Cambria" w:hAnsi="Candara"/>
                <w:b w:val="0"/>
                <w:color w:val="auto"/>
                <w:sz w:val="22"/>
                <w:szCs w:val="22"/>
              </w:rPr>
              <w:t xml:space="preserve">Probation Department has been </w:t>
            </w:r>
            <w:r w:rsidR="00537E42" w:rsidRPr="006E7A7B">
              <w:rPr>
                <w:rStyle w:val="Heading1Char"/>
                <w:rFonts w:ascii="Candara" w:eastAsia="Cambria" w:hAnsi="Candara"/>
                <w:b w:val="0"/>
                <w:color w:val="auto"/>
                <w:sz w:val="22"/>
                <w:szCs w:val="22"/>
              </w:rPr>
              <w:t>supervising client</w:t>
            </w:r>
            <w:r w:rsidRPr="006E7A7B">
              <w:rPr>
                <w:rStyle w:val="Heading1Char"/>
                <w:rFonts w:ascii="Candara" w:eastAsia="Cambria" w:hAnsi="Candara"/>
                <w:b w:val="0"/>
                <w:color w:val="auto"/>
                <w:sz w:val="22"/>
                <w:szCs w:val="22"/>
              </w:rPr>
              <w:t>s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3E3A9D" w:rsidRPr="006E7A7B">
              <w:rPr>
                <w:rFonts w:ascii="Candara" w:hAnsi="Candara"/>
                <w:color w:val="auto"/>
                <w:sz w:val="22"/>
                <w:szCs w:val="22"/>
              </w:rPr>
              <w:t>using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Electronic Monitoring since the early 1980s. Statistically, the majority of EMP c</w:t>
            </w:r>
            <w:r w:rsidR="00AB3D9F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lients </w:t>
            </w:r>
            <w:r w:rsidR="00124CB5" w:rsidRPr="006E7A7B">
              <w:rPr>
                <w:rFonts w:ascii="Candara" w:hAnsi="Candara"/>
                <w:color w:val="auto"/>
                <w:sz w:val="22"/>
                <w:szCs w:val="22"/>
              </w:rPr>
              <w:t>complete</w:t>
            </w:r>
            <w:r w:rsidR="00AB3D9F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the program</w:t>
            </w:r>
            <w:r w:rsidR="00124CB5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>successful</w:t>
            </w:r>
            <w:r w:rsidR="001F79C8" w:rsidRPr="006E7A7B">
              <w:rPr>
                <w:rFonts w:ascii="Candara" w:hAnsi="Candara"/>
                <w:color w:val="auto"/>
                <w:sz w:val="22"/>
                <w:szCs w:val="22"/>
              </w:rPr>
              <w:t>ly.</w:t>
            </w:r>
            <w:r w:rsidR="00124CB5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1F79C8" w:rsidRPr="006E7A7B">
              <w:rPr>
                <w:rFonts w:ascii="Candara" w:hAnsi="Candara"/>
                <w:color w:val="auto"/>
                <w:sz w:val="22"/>
                <w:szCs w:val="22"/>
              </w:rPr>
              <w:t>Clients</w:t>
            </w:r>
            <w:r w:rsidR="00124CB5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who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124CB5" w:rsidRPr="006E7A7B">
              <w:rPr>
                <w:rFonts w:ascii="Candara" w:hAnsi="Candara"/>
                <w:color w:val="auto"/>
                <w:sz w:val="22"/>
                <w:szCs w:val="22"/>
              </w:rPr>
              <w:t>fail</w:t>
            </w:r>
            <w:r w:rsidR="001F79C8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to adhere to 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>program</w:t>
            </w:r>
            <w:r w:rsidR="001F79C8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rules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are quickly held responsible</w:t>
            </w:r>
            <w:r w:rsidR="001F79C8"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and may be returned to custody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. EMP failures are </w:t>
            </w:r>
            <w:r w:rsidR="001A49C8" w:rsidRPr="006E7A7B">
              <w:rPr>
                <w:rFonts w:ascii="Candara" w:hAnsi="Candara"/>
                <w:color w:val="auto"/>
                <w:sz w:val="22"/>
                <w:szCs w:val="22"/>
              </w:rPr>
              <w:t>rehoused in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1A49C8" w:rsidRPr="006E7A7B">
              <w:rPr>
                <w:rFonts w:ascii="Candara" w:hAnsi="Candara"/>
                <w:color w:val="auto"/>
                <w:sz w:val="22"/>
                <w:szCs w:val="22"/>
              </w:rPr>
              <w:t>County J</w:t>
            </w:r>
            <w:r w:rsidRPr="006E7A7B">
              <w:rPr>
                <w:rFonts w:ascii="Candara" w:hAnsi="Candara"/>
                <w:color w:val="auto"/>
                <w:sz w:val="22"/>
                <w:szCs w:val="22"/>
              </w:rPr>
              <w:t>ail to serve the remainder of their Court ordered sentence.</w:t>
            </w:r>
          </w:p>
          <w:p w14:paraId="1EA6286C" w14:textId="77777777" w:rsidR="002A6EB8" w:rsidRPr="006E7A7B" w:rsidRDefault="002A6EB8" w:rsidP="002A6EB8">
            <w:pPr>
              <w:rPr>
                <w:rFonts w:ascii="Calibri" w:hAnsi="Calibri"/>
              </w:rPr>
            </w:pPr>
          </w:p>
        </w:tc>
        <w:tc>
          <w:tcPr>
            <w:tcW w:w="713" w:type="dxa"/>
            <w:shd w:val="clear" w:color="auto" w:fill="auto"/>
          </w:tcPr>
          <w:p w14:paraId="67697F03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577" w:type="dxa"/>
            <w:shd w:val="clear" w:color="auto" w:fill="auto"/>
          </w:tcPr>
          <w:p w14:paraId="553A96BE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3979" w:type="dxa"/>
            <w:shd w:val="clear" w:color="auto" w:fill="auto"/>
          </w:tcPr>
          <w:tbl>
            <w:tblPr>
              <w:tblW w:w="39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8"/>
            </w:tblGrid>
            <w:tr w:rsidR="00AE2518" w:rsidRPr="006E7A7B" w14:paraId="241ACE8E" w14:textId="77777777" w:rsidTr="00235B83">
              <w:trPr>
                <w:trHeight w:hRule="exact" w:val="7720"/>
              </w:trPr>
              <w:tc>
                <w:tcPr>
                  <w:tcW w:w="5000" w:type="pct"/>
                  <w:shd w:val="clear" w:color="auto" w:fill="auto"/>
                </w:tcPr>
                <w:p w14:paraId="43B5CC24" w14:textId="77777777" w:rsidR="00AE2518" w:rsidRPr="006E7A7B" w:rsidRDefault="00F927D6" w:rsidP="004C4FD5">
                  <w:pPr>
                    <w:pStyle w:val="Heading2"/>
                    <w:jc w:val="center"/>
                    <w:rPr>
                      <w:rFonts w:ascii="Candara" w:hAnsi="Candara"/>
                      <w:sz w:val="36"/>
                      <w:szCs w:val="36"/>
                    </w:rPr>
                  </w:pPr>
                  <w:r w:rsidRPr="006E7A7B">
                    <w:rPr>
                      <w:rFonts w:ascii="Candara" w:hAnsi="Candara"/>
                      <w:sz w:val="36"/>
                      <w:szCs w:val="36"/>
                    </w:rPr>
                    <w:t>Contact us at</w:t>
                  </w:r>
                  <w:r w:rsidR="00A11534" w:rsidRPr="006E7A7B">
                    <w:rPr>
                      <w:rFonts w:ascii="Candara" w:hAnsi="Candara"/>
                      <w:sz w:val="36"/>
                      <w:szCs w:val="36"/>
                    </w:rPr>
                    <w:t>:</w:t>
                  </w:r>
                </w:p>
                <w:p w14:paraId="3065681B" w14:textId="77777777" w:rsidR="005C55F9" w:rsidRPr="006E7A7B" w:rsidRDefault="005C55F9" w:rsidP="004C4FD5">
                  <w:pPr>
                    <w:pStyle w:val="Default"/>
                    <w:jc w:val="center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14:paraId="3D57A448" w14:textId="37C1F96C" w:rsidR="00CF383D" w:rsidRDefault="00BF1CF1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6E7A7B">
                    <w:rPr>
                      <w:rFonts w:ascii="Candara" w:hAnsi="Candara"/>
                      <w:b/>
                      <w:sz w:val="22"/>
                      <w:szCs w:val="22"/>
                    </w:rPr>
                    <w:t>Phone:</w:t>
                  </w:r>
                  <w:r w:rsidRPr="006E7A7B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="007740E4" w:rsidRPr="006E7A7B">
                    <w:rPr>
                      <w:rFonts w:ascii="Candara" w:hAnsi="Candara"/>
                      <w:sz w:val="20"/>
                      <w:szCs w:val="20"/>
                    </w:rPr>
                    <w:t>408-435-2089</w:t>
                  </w:r>
                </w:p>
                <w:p w14:paraId="734F4FE2" w14:textId="77777777" w:rsidR="00DD06F6" w:rsidRPr="006E7A7B" w:rsidRDefault="00DD06F6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14:paraId="7546EAB3" w14:textId="77777777" w:rsidR="00DD06F6" w:rsidRDefault="00CF383D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6E7A7B">
                    <w:rPr>
                      <w:rFonts w:ascii="Candara" w:hAnsi="Candara"/>
                      <w:b/>
                      <w:bCs/>
                    </w:rPr>
                    <w:t>Fax:</w:t>
                  </w:r>
                  <w:r w:rsidRPr="006E7A7B">
                    <w:rPr>
                      <w:rFonts w:ascii="Candara" w:hAnsi="Candara"/>
                      <w:sz w:val="20"/>
                      <w:szCs w:val="20"/>
                    </w:rPr>
                    <w:t xml:space="preserve"> 408-577-1883</w:t>
                  </w:r>
                </w:p>
                <w:p w14:paraId="68A51ADD" w14:textId="77777777" w:rsidR="00DD06F6" w:rsidRDefault="00DD06F6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14:paraId="41325ACE" w14:textId="684F97D9" w:rsidR="00DD06F6" w:rsidRDefault="00DD06F6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DD06F6">
                    <w:rPr>
                      <w:rFonts w:ascii="Candara" w:hAnsi="Candara"/>
                      <w:b/>
                      <w:bCs/>
                      <w:sz w:val="22"/>
                      <w:szCs w:val="22"/>
                    </w:rPr>
                    <w:t>Email: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D17C40">
                      <w:rPr>
                        <w:rStyle w:val="Hyperlink"/>
                        <w:rFonts w:ascii="Candara" w:hAnsi="Candara"/>
                        <w:sz w:val="20"/>
                        <w:szCs w:val="20"/>
                      </w:rPr>
                      <w:t>PRO-SCC_EMP@pro.sccgov.org</w:t>
                    </w:r>
                  </w:hyperlink>
                </w:p>
                <w:p w14:paraId="66463B24" w14:textId="695A1DB3" w:rsidR="00741D5E" w:rsidRPr="006E7A7B" w:rsidRDefault="00741D5E" w:rsidP="004C4FD5">
                  <w:pPr>
                    <w:pStyle w:val="Default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  <w:r w:rsidRPr="006E7A7B">
                    <w:rPr>
                      <w:rFonts w:ascii="Candara" w:hAnsi="Candara"/>
                      <w:sz w:val="22"/>
                      <w:szCs w:val="22"/>
                    </w:rPr>
                    <w:br/>
                  </w:r>
                  <w:r w:rsidRPr="006E7A7B">
                    <w:rPr>
                      <w:rFonts w:ascii="Candara" w:hAnsi="Candara"/>
                      <w:b/>
                      <w:sz w:val="22"/>
                      <w:szCs w:val="22"/>
                    </w:rPr>
                    <w:t>Web:</w:t>
                  </w:r>
                  <w:r w:rsidR="005C55F9" w:rsidRPr="006E7A7B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BF7095" w:rsidRPr="00525CF9">
                      <w:rPr>
                        <w:rStyle w:val="Hyperlink"/>
                        <w:rFonts w:ascii="Candara" w:hAnsi="Candara"/>
                        <w:sz w:val="20"/>
                        <w:szCs w:val="20"/>
                      </w:rPr>
                      <w:t>https://probation.sccgov.org</w:t>
                    </w:r>
                  </w:hyperlink>
                </w:p>
                <w:p w14:paraId="2F57BDE1" w14:textId="77777777" w:rsidR="00CF383D" w:rsidRPr="006E7A7B" w:rsidRDefault="00CF383D" w:rsidP="004C4FD5">
                  <w:pPr>
                    <w:pStyle w:val="Default"/>
                    <w:jc w:val="center"/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14:paraId="541C267F" w14:textId="77777777" w:rsidR="00870289" w:rsidRPr="006E7A7B" w:rsidRDefault="00870289" w:rsidP="004C4FD5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56FDB419" w14:textId="22E07D81" w:rsidR="001C0C45" w:rsidRPr="006E7A7B" w:rsidRDefault="001A6693" w:rsidP="00235B83">
                  <w:pPr>
                    <w:pStyle w:val="Heading1"/>
                    <w:jc w:val="center"/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</w:pPr>
                  <w:r w:rsidRPr="006E7A7B"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  <w:t xml:space="preserve">Clients are eligible for </w:t>
                  </w:r>
                  <w:r w:rsidR="00414B8B" w:rsidRPr="006E7A7B"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  <w:t xml:space="preserve">Section </w:t>
                  </w:r>
                  <w:r w:rsidRPr="006E7A7B"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  <w:t>4019</w:t>
                  </w:r>
                  <w:r w:rsidR="00414B8B" w:rsidRPr="006E7A7B"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  <w:t xml:space="preserve"> </w:t>
                  </w:r>
                  <w:r w:rsidR="00533A78" w:rsidRPr="006E7A7B">
                    <w:rPr>
                      <w:rFonts w:ascii="Candara" w:hAnsi="Candara"/>
                      <w:bCs w:val="0"/>
                      <w:color w:val="auto"/>
                      <w:sz w:val="22"/>
                      <w:szCs w:val="22"/>
                    </w:rPr>
                    <w:t>PC</w:t>
                  </w:r>
                </w:p>
                <w:p w14:paraId="5DF2F461" w14:textId="77777777" w:rsidR="001C0C45" w:rsidRPr="006E7A7B" w:rsidRDefault="001C0C4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4C960A26" w14:textId="77777777" w:rsidR="001C0C45" w:rsidRPr="006E7A7B" w:rsidRDefault="001C0C4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331036A3" w14:textId="77777777" w:rsidR="001C0C45" w:rsidRPr="006E7A7B" w:rsidRDefault="001C0C4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100CD519" w14:textId="77777777" w:rsidR="001C0C45" w:rsidRPr="006E7A7B" w:rsidRDefault="001C0C4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5757D74E" w14:textId="77777777" w:rsidR="001C0C45" w:rsidRPr="006E7A7B" w:rsidRDefault="001C0C4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50915415" w14:textId="77777777" w:rsidR="00E71385" w:rsidRDefault="00E71385" w:rsidP="004C4FD5">
                  <w:pPr>
                    <w:pStyle w:val="Heading1"/>
                    <w:jc w:val="center"/>
                    <w:rPr>
                      <w:rFonts w:ascii="Candara" w:hAnsi="Candara"/>
                      <w:b w:val="0"/>
                      <w:color w:val="auto"/>
                      <w:sz w:val="18"/>
                      <w:szCs w:val="18"/>
                    </w:rPr>
                  </w:pPr>
                </w:p>
                <w:p w14:paraId="23247CEA" w14:textId="1EDCAA0C" w:rsidR="009A3AFD" w:rsidRPr="00E71385" w:rsidRDefault="009A3AFD" w:rsidP="009A3AFD">
                  <w:pPr>
                    <w:pStyle w:val="Heading1"/>
                    <w:jc w:val="center"/>
                    <w:rPr>
                      <w:rFonts w:ascii="Candara" w:hAnsi="Candara"/>
                      <w:bCs w:val="0"/>
                      <w:color w:val="000000"/>
                      <w:sz w:val="18"/>
                      <w:szCs w:val="18"/>
                    </w:rPr>
                  </w:pPr>
                  <w:r w:rsidRPr="006E7A7B">
                    <w:rPr>
                      <w:rFonts w:ascii="Candara" w:hAnsi="Candara"/>
                      <w:bCs w:val="0"/>
                      <w:color w:val="auto"/>
                      <w:sz w:val="18"/>
                      <w:szCs w:val="18"/>
                    </w:rPr>
                    <w:t>*</w:t>
                  </w:r>
                  <w:r>
                    <w:rPr>
                      <w:rFonts w:ascii="Candara" w:hAnsi="Candara"/>
                      <w:bCs w:val="0"/>
                      <w:color w:val="auto"/>
                      <w:sz w:val="18"/>
                      <w:szCs w:val="18"/>
                      <w:u w:val="single"/>
                    </w:rPr>
                    <w:t>EMP is free to all participating clients</w:t>
                  </w:r>
                  <w:r>
                    <w:rPr>
                      <w:rFonts w:ascii="Candara" w:hAnsi="Candara"/>
                      <w:bCs w:val="0"/>
                      <w:color w:val="auto"/>
                      <w:sz w:val="18"/>
                      <w:szCs w:val="18"/>
                    </w:rPr>
                    <w:t>*</w:t>
                  </w:r>
                </w:p>
                <w:p w14:paraId="3C5D6FBF" w14:textId="49D8D7D4" w:rsidR="009A3AFD" w:rsidRDefault="009A3AFD" w:rsidP="009A3AFD">
                  <w:pPr>
                    <w:pStyle w:val="Heading1"/>
                    <w:jc w:val="both"/>
                    <w:rPr>
                      <w:rFonts w:ascii="Candara" w:hAnsi="Candara"/>
                      <w:bCs w:val="0"/>
                      <w:color w:val="000000"/>
                      <w:sz w:val="18"/>
                      <w:szCs w:val="18"/>
                    </w:rPr>
                  </w:pPr>
                </w:p>
                <w:p w14:paraId="0D04BE87" w14:textId="7E6C9AD8" w:rsidR="00E71385" w:rsidRPr="00E71385" w:rsidRDefault="00E71385" w:rsidP="00235B83">
                  <w:pPr>
                    <w:pStyle w:val="Heading1"/>
                    <w:jc w:val="both"/>
                    <w:rPr>
                      <w:rFonts w:ascii="Candara" w:hAnsi="Candara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bCs w:val="0"/>
                      <w:color w:val="000000"/>
                      <w:sz w:val="18"/>
                      <w:szCs w:val="18"/>
                    </w:rPr>
                    <w:t>.</w:t>
                  </w:r>
                </w:p>
                <w:p w14:paraId="7738A574" w14:textId="77777777" w:rsidR="00C424ED" w:rsidRPr="006E7A7B" w:rsidRDefault="00C424ED" w:rsidP="00782683">
                  <w:pPr>
                    <w:rPr>
                      <w:rFonts w:ascii="Calibri" w:hAnsi="Calibri"/>
                      <w:b/>
                    </w:rPr>
                  </w:pPr>
                </w:p>
                <w:p w14:paraId="53303CB7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7C960FC5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23E7E9DC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130368FA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04DF0050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7A1BA718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11E6401A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4935ED00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34D204BF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  <w:p w14:paraId="780CF4DE" w14:textId="77777777" w:rsidR="00C424ED" w:rsidRPr="006E7A7B" w:rsidRDefault="00C424ED" w:rsidP="00782683">
                  <w:pPr>
                    <w:rPr>
                      <w:rFonts w:ascii="Calibri" w:hAnsi="Calibri"/>
                    </w:rPr>
                  </w:pPr>
                </w:p>
              </w:tc>
            </w:tr>
            <w:tr w:rsidR="00AE2518" w:rsidRPr="006E7A7B" w14:paraId="7B2F1AB2" w14:textId="77777777" w:rsidTr="00235B83">
              <w:trPr>
                <w:trHeight w:hRule="exact" w:val="2806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tbl>
                  <w:tblPr>
                    <w:tblW w:w="65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79"/>
                    <w:gridCol w:w="2618"/>
                    <w:gridCol w:w="2618"/>
                  </w:tblGrid>
                  <w:tr w:rsidR="00A73D0A" w:rsidRPr="006E7A7B" w14:paraId="4E06FC1F" w14:textId="77777777" w:rsidTr="00235B83">
                    <w:trPr>
                      <w:trHeight w:val="1440"/>
                    </w:trPr>
                    <w:tc>
                      <w:tcPr>
                        <w:tcW w:w="954" w:type="pct"/>
                        <w:vAlign w:val="center"/>
                      </w:tcPr>
                      <w:p w14:paraId="3372D243" w14:textId="0A6D4BC9" w:rsidR="00A73D0A" w:rsidRPr="006E7A7B" w:rsidRDefault="00223E48">
                        <w:pPr>
                          <w:pStyle w:val="NoSpacing"/>
                          <w:rPr>
                            <w:rFonts w:ascii="Calibri" w:hAnsi="Calibri"/>
                          </w:rPr>
                        </w:pPr>
                        <w:r w:rsidRPr="008434E8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48859704" wp14:editId="5C9AB7AC">
                              <wp:extent cx="828675" cy="809625"/>
                              <wp:effectExtent l="0" t="0" r="0" b="0"/>
                              <wp:docPr id="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" w:type="pct"/>
                      </w:tcPr>
                      <w:p w14:paraId="56F9226A" w14:textId="77777777" w:rsidR="00A73D0A" w:rsidRPr="006E7A7B" w:rsidRDefault="00A73D0A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1993" w:type="pct"/>
                      </w:tcPr>
                      <w:p w14:paraId="2EAA20B0" w14:textId="77777777" w:rsidR="00A73D0A" w:rsidRPr="006E7A7B" w:rsidRDefault="006E7A7B">
                        <w:pPr>
                          <w:pStyle w:val="Company"/>
                          <w:rPr>
                            <w:rFonts w:ascii="Candara" w:hAnsi="Candara"/>
                            <w:color w:val="0070C0"/>
                          </w:rPr>
                        </w:pPr>
                        <w:r w:rsidRPr="006E7A7B">
                          <w:rPr>
                            <w:rFonts w:ascii="Candara" w:hAnsi="Candara"/>
                            <w:color w:val="0070C0"/>
                          </w:rPr>
                          <w:t>ELECTRONIC MONITORING PROGRAM</w:t>
                        </w:r>
                      </w:p>
                      <w:p w14:paraId="4FB4D428" w14:textId="77777777" w:rsidR="009A18F0" w:rsidRPr="006E7A7B" w:rsidRDefault="00A73D0A" w:rsidP="00782683">
                        <w:pPr>
                          <w:pStyle w:val="Footer"/>
                          <w:rPr>
                            <w:rFonts w:ascii="Candara" w:hAnsi="Candara"/>
                            <w:b/>
                            <w:sz w:val="20"/>
                          </w:rPr>
                        </w:pPr>
                        <w:r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Santa Clara County </w:t>
                        </w:r>
                      </w:p>
                      <w:p w14:paraId="673BE2AA" w14:textId="77777777" w:rsidR="00A73D0A" w:rsidRPr="006E7A7B" w:rsidRDefault="009A18F0" w:rsidP="00782683">
                        <w:pPr>
                          <w:pStyle w:val="Footer"/>
                          <w:rPr>
                            <w:rFonts w:ascii="Candara" w:hAnsi="Candara"/>
                            <w:b/>
                            <w:sz w:val="20"/>
                          </w:rPr>
                        </w:pPr>
                        <w:r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Adult </w:t>
                        </w:r>
                        <w:r w:rsidR="00BE5E83"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>Services Division</w:t>
                        </w:r>
                      </w:p>
                      <w:p w14:paraId="7F736F51" w14:textId="77777777" w:rsidR="00A73D0A" w:rsidRPr="006E7A7B" w:rsidRDefault="00AB1D4A" w:rsidP="00782683">
                        <w:pPr>
                          <w:pStyle w:val="Footer"/>
                          <w:rPr>
                            <w:rFonts w:ascii="Candara" w:hAnsi="Candara"/>
                            <w:b/>
                            <w:sz w:val="20"/>
                          </w:rPr>
                        </w:pPr>
                        <w:r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>2314 N. First</w:t>
                        </w:r>
                        <w:r w:rsidR="00A73D0A"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 xml:space="preserve"> St. </w:t>
                        </w:r>
                      </w:p>
                      <w:p w14:paraId="0A827548" w14:textId="77777777" w:rsidR="00A73D0A" w:rsidRPr="006E7A7B" w:rsidRDefault="00A73D0A" w:rsidP="00782683">
                        <w:pPr>
                          <w:pStyle w:val="Footer"/>
                          <w:rPr>
                            <w:rFonts w:ascii="Calibri" w:hAnsi="Calibri"/>
                          </w:rPr>
                        </w:pPr>
                        <w:r w:rsidRPr="006E7A7B">
                          <w:rPr>
                            <w:rFonts w:ascii="Candara" w:hAnsi="Candara"/>
                            <w:b/>
                            <w:sz w:val="20"/>
                          </w:rPr>
                          <w:t>San Jose, CA. 95131</w:t>
                        </w:r>
                      </w:p>
                    </w:tc>
                    <w:tc>
                      <w:tcPr>
                        <w:tcW w:w="1993" w:type="pct"/>
                      </w:tcPr>
                      <w:p w14:paraId="49DA1290" w14:textId="77777777" w:rsidR="00A73D0A" w:rsidRPr="006E7A7B" w:rsidRDefault="00A73D0A">
                        <w:pPr>
                          <w:pStyle w:val="Company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D031AFB" w14:textId="77777777" w:rsidR="00AE2518" w:rsidRPr="006E7A7B" w:rsidRDefault="00AE2518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9202742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14:paraId="418EEDE9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720" w:type="dxa"/>
            <w:shd w:val="clear" w:color="auto" w:fill="auto"/>
          </w:tcPr>
          <w:p w14:paraId="2349E2CE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3851" w:type="dxa"/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20"/>
            </w:tblGrid>
            <w:tr w:rsidR="00AE2518" w:rsidRPr="006E7A7B" w14:paraId="6EBB0C90" w14:textId="77777777" w:rsidTr="006E7A7B">
              <w:trPr>
                <w:trHeight w:hRule="exact" w:val="5310"/>
              </w:trPr>
              <w:tc>
                <w:tcPr>
                  <w:tcW w:w="5000" w:type="pct"/>
                  <w:shd w:val="clear" w:color="auto" w:fill="auto"/>
                </w:tcPr>
                <w:p w14:paraId="648EC689" w14:textId="492A4861" w:rsidR="00467E53" w:rsidRPr="006E7A7B" w:rsidRDefault="00223E48" w:rsidP="00335B90">
                  <w:pPr>
                    <w:rPr>
                      <w:rFonts w:ascii="Calibri" w:hAnsi="Calibri"/>
                      <w:color w:val="0070C0"/>
                    </w:rPr>
                  </w:pPr>
                  <w:r w:rsidRPr="006E7A7B">
                    <w:rPr>
                      <w:noProof/>
                      <w:color w:val="0070C0"/>
                      <w:lang w:eastAsia="en-US"/>
                    </w:rPr>
                    <w:drawing>
                      <wp:inline distT="0" distB="0" distL="0" distR="0" wp14:anchorId="47FF60A6" wp14:editId="3BD6DD1D">
                        <wp:extent cx="2447925" cy="2494820"/>
                        <wp:effectExtent l="0" t="0" r="0" b="1270"/>
                        <wp:docPr id="2" name="Picture 1" descr="probatio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bation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989" cy="250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635D78" w14:textId="77777777" w:rsidR="00AE2518" w:rsidRPr="006E7A7B" w:rsidRDefault="00467E53" w:rsidP="006E7A7B">
                  <w:pPr>
                    <w:tabs>
                      <w:tab w:val="left" w:pos="2835"/>
                    </w:tabs>
                    <w:spacing w:after="0"/>
                    <w:jc w:val="center"/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</w:pPr>
                  <w:r w:rsidRPr="006E7A7B"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  <w:t>SANTA CLARA COUNTY</w:t>
                  </w:r>
                </w:p>
                <w:p w14:paraId="0305AD6C" w14:textId="77777777" w:rsidR="00467E53" w:rsidRPr="006E7A7B" w:rsidRDefault="00467E53" w:rsidP="006E7A7B">
                  <w:pPr>
                    <w:tabs>
                      <w:tab w:val="left" w:pos="2835"/>
                    </w:tabs>
                    <w:spacing w:after="0"/>
                    <w:jc w:val="center"/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</w:pPr>
                  <w:r w:rsidRPr="006E7A7B"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  <w:t xml:space="preserve">ADULT </w:t>
                  </w:r>
                  <w:r w:rsidR="00BA11DB" w:rsidRPr="006E7A7B"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  <w:t>SERVICES DIVISION</w:t>
                  </w:r>
                </w:p>
                <w:p w14:paraId="0BDAC022" w14:textId="77777777" w:rsidR="00A73D0A" w:rsidRPr="006E7A7B" w:rsidRDefault="00A73D0A" w:rsidP="006E7A7B">
                  <w:pPr>
                    <w:tabs>
                      <w:tab w:val="left" w:pos="2835"/>
                    </w:tabs>
                    <w:spacing w:after="0"/>
                    <w:jc w:val="center"/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</w:pPr>
                </w:p>
                <w:p w14:paraId="62099F29" w14:textId="77777777" w:rsidR="00A73D0A" w:rsidRPr="006E7A7B" w:rsidRDefault="00A73D0A" w:rsidP="006E7A7B">
                  <w:pPr>
                    <w:tabs>
                      <w:tab w:val="left" w:pos="2835"/>
                    </w:tabs>
                    <w:spacing w:after="0"/>
                    <w:jc w:val="center"/>
                    <w:rPr>
                      <w:rFonts w:ascii="Candara" w:hAnsi="Candara"/>
                      <w:b/>
                      <w:color w:val="0070C0"/>
                      <w:sz w:val="28"/>
                      <w:szCs w:val="28"/>
                    </w:rPr>
                  </w:pPr>
                </w:p>
                <w:p w14:paraId="262BCB51" w14:textId="77777777" w:rsidR="00467E53" w:rsidRPr="006E7A7B" w:rsidRDefault="00467E53" w:rsidP="006E7A7B">
                  <w:pPr>
                    <w:tabs>
                      <w:tab w:val="left" w:pos="2835"/>
                    </w:tabs>
                    <w:spacing w:after="0"/>
                    <w:rPr>
                      <w:rFonts w:ascii="Calibri" w:hAnsi="Calibri"/>
                      <w:color w:val="0070C0"/>
                    </w:rPr>
                  </w:pPr>
                </w:p>
                <w:p w14:paraId="7923AE66" w14:textId="77777777" w:rsidR="00467E53" w:rsidRPr="006E7A7B" w:rsidRDefault="00467E53" w:rsidP="006E7A7B">
                  <w:pPr>
                    <w:tabs>
                      <w:tab w:val="left" w:pos="2835"/>
                    </w:tabs>
                    <w:rPr>
                      <w:rFonts w:ascii="Calibri" w:hAnsi="Calibri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8E6864C" w14:textId="77777777" w:rsidR="00AE2518" w:rsidRPr="006E7A7B" w:rsidRDefault="00467E53">
                  <w:r w:rsidRPr="006E7A7B">
                    <w:tab/>
                  </w:r>
                  <w:r w:rsidRPr="006E7A7B">
                    <w:tab/>
                  </w:r>
                </w:p>
              </w:tc>
            </w:tr>
            <w:tr w:rsidR="00AE2518" w:rsidRPr="006E7A7B" w14:paraId="15CB24D8" w14:textId="77777777" w:rsidTr="006E7A7B">
              <w:trPr>
                <w:gridAfter w:val="1"/>
                <w:wAfter w:w="20" w:type="dxa"/>
                <w:trHeight w:hRule="exact" w:val="270"/>
              </w:trPr>
              <w:tc>
                <w:tcPr>
                  <w:tcW w:w="5000" w:type="pct"/>
                  <w:shd w:val="clear" w:color="auto" w:fill="auto"/>
                </w:tcPr>
                <w:p w14:paraId="18DDF34A" w14:textId="77777777" w:rsidR="00AE2518" w:rsidRPr="006E7A7B" w:rsidRDefault="00AE2518">
                  <w:pPr>
                    <w:rPr>
                      <w:rFonts w:ascii="Calibri" w:hAnsi="Calibri"/>
                    </w:rPr>
                  </w:pPr>
                </w:p>
              </w:tc>
            </w:tr>
            <w:tr w:rsidR="00AE2518" w:rsidRPr="006E7A7B" w14:paraId="1D3DA5AF" w14:textId="77777777" w:rsidTr="006E7A7B">
              <w:trPr>
                <w:gridAfter w:val="1"/>
                <w:wAfter w:w="20" w:type="dxa"/>
                <w:trHeight w:hRule="exact" w:val="3240"/>
              </w:trPr>
              <w:tc>
                <w:tcPr>
                  <w:tcW w:w="5000" w:type="pct"/>
                  <w:shd w:val="clear" w:color="auto" w:fill="2682A6"/>
                </w:tcPr>
                <w:p w14:paraId="2D512678" w14:textId="77777777" w:rsidR="00AE2518" w:rsidRPr="006E7A7B" w:rsidRDefault="006E7A7B" w:rsidP="009A3AFD">
                  <w:pPr>
                    <w:pStyle w:val="Title"/>
                    <w:jc w:val="center"/>
                  </w:pPr>
                  <w:r w:rsidRPr="006E7A7B">
                    <w:t>ELECTRONIC MONITORING PROGRAM</w:t>
                  </w:r>
                </w:p>
              </w:tc>
            </w:tr>
            <w:tr w:rsidR="00AE2518" w:rsidRPr="006E7A7B" w14:paraId="53F43ABF" w14:textId="77777777" w:rsidTr="006E7A7B">
              <w:trPr>
                <w:gridAfter w:val="1"/>
                <w:wAfter w:w="20" w:type="dxa"/>
                <w:trHeight w:hRule="exact" w:val="1440"/>
              </w:trPr>
              <w:tc>
                <w:tcPr>
                  <w:tcW w:w="5000" w:type="pct"/>
                  <w:shd w:val="clear" w:color="auto" w:fill="2682A6"/>
                  <w:vAlign w:val="bottom"/>
                </w:tcPr>
                <w:p w14:paraId="6109E71D" w14:textId="77777777" w:rsidR="00AE2518" w:rsidRPr="006E7A7B" w:rsidRDefault="00537E42" w:rsidP="006E7A7B">
                  <w:pPr>
                    <w:pStyle w:val="Subtitle"/>
                    <w:jc w:val="center"/>
                    <w:rPr>
                      <w:rFonts w:ascii="Calibri" w:hAnsi="Calibri"/>
                      <w:b/>
                      <w:bCs/>
                      <w:i w:val="0"/>
                      <w:iCs w:val="0"/>
                      <w:sz w:val="28"/>
                      <w:szCs w:val="28"/>
                    </w:rPr>
                  </w:pPr>
                  <w:r w:rsidRPr="006E7A7B">
                    <w:rPr>
                      <w:rFonts w:ascii="Calibri" w:hAnsi="Calibri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t>An Alternative to Custody</w:t>
                  </w:r>
                </w:p>
              </w:tc>
            </w:tr>
          </w:tbl>
          <w:p w14:paraId="5B7E8ADA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</w:tr>
    </w:tbl>
    <w:p w14:paraId="73DF9DF5" w14:textId="77777777" w:rsidR="00AE2518" w:rsidRPr="006E7A7B" w:rsidRDefault="00AE2518">
      <w:pPr>
        <w:pStyle w:val="NoSpacing"/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713"/>
        <w:gridCol w:w="487"/>
        <w:gridCol w:w="4140"/>
        <w:gridCol w:w="649"/>
        <w:gridCol w:w="720"/>
        <w:gridCol w:w="3851"/>
      </w:tblGrid>
      <w:tr w:rsidR="00AE2518" w:rsidRPr="006E7A7B" w14:paraId="62BEA3F2" w14:textId="77777777" w:rsidTr="00524432">
        <w:trPr>
          <w:trHeight w:hRule="exact" w:val="10890"/>
          <w:jc w:val="center"/>
        </w:trPr>
        <w:tc>
          <w:tcPr>
            <w:tcW w:w="3840" w:type="dxa"/>
            <w:shd w:val="clear" w:color="auto" w:fill="auto"/>
          </w:tcPr>
          <w:p w14:paraId="64BBB2B8" w14:textId="77777777" w:rsidR="004C6C38" w:rsidRPr="006E7A7B" w:rsidRDefault="00A62ED6" w:rsidP="006E7A7B">
            <w:pPr>
              <w:pStyle w:val="Heading1"/>
              <w:jc w:val="center"/>
              <w:rPr>
                <w:rFonts w:ascii="Candara" w:hAnsi="Candara"/>
                <w:sz w:val="36"/>
                <w:szCs w:val="36"/>
              </w:rPr>
            </w:pPr>
            <w:r w:rsidRPr="006E7A7B">
              <w:rPr>
                <w:rFonts w:ascii="Candara" w:hAnsi="Candara"/>
                <w:color w:val="0070C0"/>
                <w:sz w:val="36"/>
                <w:szCs w:val="36"/>
              </w:rPr>
              <w:lastRenderedPageBreak/>
              <w:t xml:space="preserve">Court </w:t>
            </w:r>
            <w:r w:rsidR="00ED7922" w:rsidRPr="006E7A7B">
              <w:rPr>
                <w:rFonts w:ascii="Candara" w:hAnsi="Candara"/>
                <w:color w:val="0070C0"/>
                <w:sz w:val="36"/>
                <w:szCs w:val="36"/>
              </w:rPr>
              <w:t>Referrals</w:t>
            </w:r>
          </w:p>
          <w:p w14:paraId="0FC41A48" w14:textId="77777777" w:rsidR="009D4A80" w:rsidRPr="006E7A7B" w:rsidRDefault="009D4A80" w:rsidP="006E7A7B">
            <w:pPr>
              <w:pStyle w:val="Heading1"/>
              <w:jc w:val="both"/>
              <w:rPr>
                <w:rFonts w:ascii="Candara" w:hAnsi="Candara"/>
                <w:b w:val="0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The authority of the court to </w:t>
            </w:r>
            <w:r w:rsidR="00C87523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recommend, restrict, or deny participation of 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a particular </w:t>
            </w:r>
            <w:r w:rsidR="00C87523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person on 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electronic m</w:t>
            </w:r>
            <w:r w:rsidR="007454F4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onitoring is governed by statute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. S</w:t>
            </w:r>
            <w:r w:rsidR="00C87523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ection</w:t>
            </w:r>
            <w:r w:rsidR="00AB1D4A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1203.016</w:t>
            </w:r>
            <w:r w:rsidR="00C87523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of the Penal Code specifies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:</w:t>
            </w:r>
          </w:p>
          <w:p w14:paraId="71310309" w14:textId="77777777" w:rsidR="00647EE0" w:rsidRPr="006E7A7B" w:rsidRDefault="00647EE0" w:rsidP="006E7A7B">
            <w:pPr>
              <w:spacing w:after="0"/>
              <w:rPr>
                <w:rFonts w:ascii="Calibri" w:hAnsi="Calibri"/>
              </w:rPr>
            </w:pPr>
          </w:p>
          <w:p w14:paraId="004E6A08" w14:textId="77777777" w:rsidR="003B0B78" w:rsidRPr="006E7A7B" w:rsidRDefault="008006D9" w:rsidP="006E7A7B">
            <w:pPr>
              <w:pStyle w:val="Quote"/>
              <w:spacing w:before="0" w:after="120" w:line="240" w:lineRule="auto"/>
              <w:jc w:val="both"/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</w:pPr>
            <w:r w:rsidRPr="006E7A7B"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  <w:t>“The court may recommend or refer a person to the correctional administrator</w:t>
            </w:r>
            <w:r w:rsidR="00BA478E" w:rsidRPr="006E7A7B"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  <w:t xml:space="preserve"> </w:t>
            </w:r>
            <w:r w:rsidRPr="006E7A7B"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  <w:t xml:space="preserve">for consideration for placement in the home detention program. The recommendation or referral of the court shall be given great weight in the determination of </w:t>
            </w:r>
            <w:r w:rsidR="00D828FB" w:rsidRPr="006E7A7B"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  <w:t>acceptance or denial. At the time of sentencing or at any time that the court deems it necessary, the court may restrict or deny the defendant’s participation in a home detention program.</w:t>
            </w:r>
            <w:r w:rsidR="00ED7922" w:rsidRPr="006E7A7B">
              <w:rPr>
                <w:rStyle w:val="QuoteChar"/>
                <w:rFonts w:ascii="Calibri" w:hAnsi="Calibri"/>
                <w:i/>
                <w:iCs/>
                <w:sz w:val="21"/>
                <w:szCs w:val="21"/>
              </w:rPr>
              <w:t>”</w:t>
            </w:r>
          </w:p>
          <w:p w14:paraId="5B466ED3" w14:textId="77777777" w:rsidR="00611855" w:rsidRPr="006E7A7B" w:rsidRDefault="00F3598F" w:rsidP="006E7A7B">
            <w:pPr>
              <w:pStyle w:val="Heading1"/>
              <w:jc w:val="center"/>
              <w:rPr>
                <w:rFonts w:ascii="Candara" w:hAnsi="Candara"/>
                <w:color w:val="0070C0"/>
                <w:sz w:val="36"/>
                <w:szCs w:val="36"/>
              </w:rPr>
            </w:pPr>
            <w:r w:rsidRPr="006E7A7B">
              <w:rPr>
                <w:rFonts w:ascii="Candara" w:hAnsi="Candara"/>
                <w:color w:val="0070C0"/>
                <w:sz w:val="36"/>
                <w:szCs w:val="36"/>
              </w:rPr>
              <w:t>Program Ine</w:t>
            </w:r>
            <w:r w:rsidR="00BB1682" w:rsidRPr="006E7A7B">
              <w:rPr>
                <w:rFonts w:ascii="Candara" w:hAnsi="Candara"/>
                <w:color w:val="0070C0"/>
                <w:sz w:val="36"/>
                <w:szCs w:val="36"/>
              </w:rPr>
              <w:t>ligibility</w:t>
            </w:r>
          </w:p>
          <w:p w14:paraId="38167E27" w14:textId="2479AC71" w:rsidR="005C55F9" w:rsidRPr="006E7A7B" w:rsidRDefault="00862857" w:rsidP="006E7A7B">
            <w:pPr>
              <w:pStyle w:val="Heading1"/>
              <w:jc w:val="both"/>
              <w:rPr>
                <w:rFonts w:ascii="Candara" w:hAnsi="Candara"/>
                <w:b w:val="0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All applicants will be screened </w:t>
            </w:r>
            <w:r w:rsidR="004F0150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by the Probation Department 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for eligibility</w:t>
            </w:r>
            <w:r w:rsidR="005A3C01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and suitability</w:t>
            </w:r>
            <w:r w:rsidR="004F0150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. The following factors will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make an applicant ineligible:</w:t>
            </w:r>
          </w:p>
          <w:p w14:paraId="51F27CCD" w14:textId="77777777" w:rsidR="00862857" w:rsidRPr="006E7A7B" w:rsidRDefault="00862857" w:rsidP="006E7A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>Court order prohibits EMP, or Early Release Programs</w:t>
            </w:r>
            <w:r w:rsidR="001A6693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(NERP)</w:t>
            </w:r>
          </w:p>
          <w:p w14:paraId="5EAAAE1F" w14:textId="77777777" w:rsidR="00862857" w:rsidRPr="006E7A7B" w:rsidRDefault="001A6693" w:rsidP="006E7A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Active </w:t>
            </w:r>
            <w:r w:rsidR="00A62ED6" w:rsidRPr="006E7A7B">
              <w:rPr>
                <w:rFonts w:ascii="Candara" w:hAnsi="Candara"/>
                <w:color w:val="000000"/>
                <w:sz w:val="22"/>
                <w:szCs w:val="22"/>
              </w:rPr>
              <w:t>PC 1170(h)</w:t>
            </w:r>
            <w:r w:rsidR="00AC7538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, </w:t>
            </w:r>
            <w:r w:rsidR="004F0150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PRCS </w:t>
            </w:r>
            <w:r w:rsidR="00AC7538" w:rsidRPr="006E7A7B">
              <w:rPr>
                <w:rFonts w:ascii="Candara" w:hAnsi="Candara"/>
                <w:color w:val="000000"/>
                <w:sz w:val="22"/>
                <w:szCs w:val="22"/>
              </w:rPr>
              <w:t>or Parole clients</w:t>
            </w:r>
          </w:p>
          <w:p w14:paraId="54E6B972" w14:textId="77777777" w:rsidR="003400B8" w:rsidRPr="006E7A7B" w:rsidRDefault="003400B8" w:rsidP="006E7A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Present offense is </w:t>
            </w:r>
            <w:r w:rsidR="00601577" w:rsidRPr="006E7A7B">
              <w:rPr>
                <w:rFonts w:ascii="Candara" w:hAnsi="Candara"/>
                <w:color w:val="000000"/>
                <w:sz w:val="22"/>
                <w:szCs w:val="22"/>
              </w:rPr>
              <w:t>under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Section</w:t>
            </w:r>
            <w:r w:rsidR="00F02ECC" w:rsidRPr="006E7A7B">
              <w:rPr>
                <w:rFonts w:ascii="Candara" w:hAnsi="Candara"/>
                <w:color w:val="000000"/>
                <w:sz w:val="22"/>
                <w:szCs w:val="22"/>
              </w:rPr>
              <w:t>s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>1192.7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r w:rsidR="00BF489B" w:rsidRPr="006E7A7B">
              <w:rPr>
                <w:rFonts w:ascii="Candara" w:hAnsi="Candara"/>
                <w:color w:val="000000"/>
                <w:sz w:val="22"/>
                <w:szCs w:val="22"/>
              </w:rPr>
              <w:t>or</w:t>
            </w:r>
            <w:r w:rsidR="00F02ECC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667.5(c) 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>Penal Code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</w:p>
          <w:p w14:paraId="3265309E" w14:textId="23F2A27B" w:rsidR="0008107E" w:rsidRPr="006E7A7B" w:rsidRDefault="00C64729" w:rsidP="006E7A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Felony Domestic Violence where 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>a</w:t>
            </w:r>
            <w:r w:rsidR="00083112" w:rsidRPr="006E7A7B">
              <w:rPr>
                <w:rFonts w:ascii="Candara" w:hAnsi="Candara"/>
                <w:color w:val="000000"/>
                <w:sz w:val="22"/>
                <w:szCs w:val="22"/>
              </w:rPr>
              <w:t>pplicant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and </w:t>
            </w:r>
            <w:r w:rsidR="00414B8B" w:rsidRPr="006E7A7B">
              <w:rPr>
                <w:rFonts w:ascii="Candara" w:hAnsi="Candara"/>
                <w:color w:val="000000"/>
                <w:sz w:val="22"/>
                <w:szCs w:val="22"/>
              </w:rPr>
              <w:t>v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>ic</w:t>
            </w:r>
            <w:r w:rsidR="00AB3D9F" w:rsidRPr="006E7A7B">
              <w:rPr>
                <w:rFonts w:ascii="Candara" w:hAnsi="Candara"/>
                <w:color w:val="000000"/>
                <w:sz w:val="22"/>
                <w:szCs w:val="22"/>
              </w:rPr>
              <w:t>tim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cohabitate</w:t>
            </w:r>
          </w:p>
          <w:p w14:paraId="6F06EDF2" w14:textId="63BE944C" w:rsidR="00C64729" w:rsidRPr="006E7A7B" w:rsidRDefault="00C64729" w:rsidP="006E7A7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No verifiable address </w:t>
            </w:r>
          </w:p>
          <w:p w14:paraId="77451464" w14:textId="2432FCEE" w:rsidR="008006D9" w:rsidRPr="000517CE" w:rsidRDefault="006F197A" w:rsidP="000517C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Pending </w:t>
            </w:r>
            <w:r w:rsidR="00CA2A34" w:rsidRPr="006E7A7B">
              <w:rPr>
                <w:rFonts w:ascii="Candara" w:hAnsi="Candara"/>
                <w:color w:val="000000"/>
                <w:sz w:val="22"/>
                <w:szCs w:val="22"/>
              </w:rPr>
              <w:t>new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criminal</w:t>
            </w:r>
            <w:r w:rsidR="00CA2A34"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 c</w:t>
            </w:r>
            <w:r w:rsidRPr="006E7A7B">
              <w:rPr>
                <w:rFonts w:ascii="Candara" w:hAnsi="Candara"/>
                <w:color w:val="000000"/>
                <w:sz w:val="22"/>
                <w:szCs w:val="22"/>
              </w:rPr>
              <w:t xml:space="preserve">ourt </w:t>
            </w:r>
            <w:r w:rsidR="00CA2A34" w:rsidRPr="006E7A7B">
              <w:rPr>
                <w:rFonts w:ascii="Candara" w:hAnsi="Candara"/>
                <w:color w:val="000000"/>
                <w:sz w:val="22"/>
                <w:szCs w:val="22"/>
              </w:rPr>
              <w:t>matter</w:t>
            </w:r>
          </w:p>
        </w:tc>
        <w:tc>
          <w:tcPr>
            <w:tcW w:w="713" w:type="dxa"/>
            <w:shd w:val="clear" w:color="auto" w:fill="auto"/>
          </w:tcPr>
          <w:p w14:paraId="302C4687" w14:textId="77777777" w:rsidR="00AE2518" w:rsidRPr="006E7A7B" w:rsidRDefault="00D828FB">
            <w:pPr>
              <w:rPr>
                <w:rFonts w:ascii="Calibri" w:hAnsi="Calibri"/>
              </w:rPr>
            </w:pPr>
            <w:r w:rsidRPr="006E7A7B">
              <w:rPr>
                <w:rFonts w:ascii="Calibri" w:hAnsi="Calibri"/>
              </w:rPr>
              <w:t xml:space="preserve"> </w:t>
            </w:r>
          </w:p>
        </w:tc>
        <w:tc>
          <w:tcPr>
            <w:tcW w:w="487" w:type="dxa"/>
            <w:shd w:val="clear" w:color="auto" w:fill="auto"/>
          </w:tcPr>
          <w:p w14:paraId="2D9A68CF" w14:textId="77777777" w:rsidR="00AE2518" w:rsidRPr="006E7A7B" w:rsidRDefault="00AE2518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17B396C8" w14:textId="77777777" w:rsidR="004C6C38" w:rsidRPr="006E7A7B" w:rsidRDefault="006F7963" w:rsidP="008225C4">
            <w:pPr>
              <w:pStyle w:val="Heading1"/>
              <w:spacing w:line="276" w:lineRule="auto"/>
              <w:jc w:val="center"/>
              <w:rPr>
                <w:rFonts w:ascii="Candara" w:hAnsi="Candara"/>
                <w:sz w:val="36"/>
                <w:szCs w:val="36"/>
              </w:rPr>
            </w:pPr>
            <w:r w:rsidRPr="006E7A7B">
              <w:rPr>
                <w:rFonts w:ascii="Candara" w:hAnsi="Candara"/>
                <w:color w:val="0070C0"/>
                <w:sz w:val="36"/>
                <w:szCs w:val="36"/>
              </w:rPr>
              <w:t>Applying for EMP</w:t>
            </w:r>
          </w:p>
          <w:p w14:paraId="5FAC385E" w14:textId="77777777" w:rsidR="008208F4" w:rsidRPr="006E7A7B" w:rsidRDefault="008208F4" w:rsidP="00EB6273">
            <w:pPr>
              <w:rPr>
                <w:rFonts w:ascii="Candara" w:hAnsi="Candara"/>
                <w:b/>
                <w:color w:val="auto"/>
                <w:u w:val="single"/>
              </w:rPr>
            </w:pPr>
            <w:r w:rsidRPr="006E7A7B">
              <w:rPr>
                <w:rFonts w:ascii="Candara" w:hAnsi="Candara"/>
                <w:b/>
                <w:color w:val="auto"/>
                <w:u w:val="single"/>
              </w:rPr>
              <w:t>Out of Custody Client</w:t>
            </w:r>
            <w:r w:rsidR="004812E1" w:rsidRPr="006E7A7B">
              <w:rPr>
                <w:rFonts w:ascii="Candara" w:hAnsi="Candara"/>
                <w:b/>
                <w:color w:val="auto"/>
                <w:u w:val="single"/>
              </w:rPr>
              <w:t>:</w:t>
            </w:r>
          </w:p>
          <w:p w14:paraId="6CFB5373" w14:textId="77777777" w:rsidR="0001517C" w:rsidRPr="006E7A7B" w:rsidRDefault="00741D5E" w:rsidP="006E7A7B">
            <w:pPr>
              <w:pStyle w:val="Heading1"/>
              <w:numPr>
                <w:ilvl w:val="0"/>
                <w:numId w:val="16"/>
              </w:numPr>
              <w:rPr>
                <w:rFonts w:ascii="Candara" w:hAnsi="Candara"/>
                <w:b w:val="0"/>
                <w:color w:val="auto"/>
                <w:sz w:val="20"/>
              </w:rPr>
            </w:pPr>
            <w:r w:rsidRPr="006E7A7B">
              <w:rPr>
                <w:rFonts w:ascii="Candara" w:hAnsi="Candara"/>
                <w:b w:val="0"/>
                <w:color w:val="auto"/>
                <w:sz w:val="20"/>
              </w:rPr>
              <w:t>O</w:t>
            </w:r>
            <w:r w:rsidR="007C176B" w:rsidRPr="006E7A7B">
              <w:rPr>
                <w:rFonts w:ascii="Candara" w:hAnsi="Candara"/>
                <w:b w:val="0"/>
                <w:color w:val="auto"/>
                <w:sz w:val="20"/>
              </w:rPr>
              <w:t>btain an application for EMP</w:t>
            </w:r>
          </w:p>
          <w:p w14:paraId="00BD52CD" w14:textId="77777777" w:rsidR="00F3598F" w:rsidRPr="006E7A7B" w:rsidRDefault="003002A7" w:rsidP="00461433">
            <w:pPr>
              <w:pStyle w:val="Heading1"/>
              <w:numPr>
                <w:ilvl w:val="0"/>
                <w:numId w:val="21"/>
              </w:numPr>
              <w:rPr>
                <w:rFonts w:ascii="Candara" w:hAnsi="Candara"/>
                <w:b w:val="0"/>
                <w:color w:val="auto"/>
                <w:sz w:val="20"/>
              </w:rPr>
            </w:pPr>
            <w:r w:rsidRPr="006E7A7B">
              <w:rPr>
                <w:rFonts w:ascii="Candara" w:hAnsi="Candara"/>
                <w:b w:val="0"/>
                <w:color w:val="auto"/>
                <w:sz w:val="20"/>
              </w:rPr>
              <w:t>O</w:t>
            </w:r>
            <w:r w:rsidR="00403DC0" w:rsidRPr="006E7A7B">
              <w:rPr>
                <w:rFonts w:ascii="Candara" w:hAnsi="Candara"/>
                <w:b w:val="0"/>
                <w:color w:val="auto"/>
                <w:sz w:val="20"/>
              </w:rPr>
              <w:t>nline:</w:t>
            </w:r>
          </w:p>
          <w:p w14:paraId="7A1E24DD" w14:textId="40793120" w:rsidR="0001517C" w:rsidRPr="006E7A7B" w:rsidRDefault="00223E48" w:rsidP="006E7A7B">
            <w:pPr>
              <w:pStyle w:val="Default"/>
              <w:ind w:left="1080"/>
              <w:rPr>
                <w:rFonts w:ascii="Candara" w:hAnsi="Candara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CC95FD2" wp14:editId="35BE7CE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52070</wp:posOffset>
                      </wp:positionV>
                      <wp:extent cx="2686050" cy="7620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82A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A9D9" id="Rectangle 19" o:spid="_x0000_s1026" style="position:absolute;margin-left:-3pt;margin-top:4.1pt;width:211.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2LiAIAAC4FAAAOAAAAZHJzL2Uyb0RvYy54bWysVF1P2zAUfZ+0/2D5fSStoIWIFlVFTJM6&#10;QIOJ51vHSaM5tme7Tdmv37GTQmF7mvZi+X74fpx7ri+v9q1iO+l8Y/SMj05yzqQWpmx0PePfH28+&#10;nXPmA+mSlNFyxp+l51fzjx8uO1vIsdkYVUrHEET7orMzvgnBFlnmxUa25E+MlRrGyriWAkRXZ6Wj&#10;DtFblY3zfJJ1xpXWGSG9h/a6N/J5il9VUoS7qvIyMDXjqC2k06VzHc9sfklF7chuGjGUQf9QRUuN&#10;RtKXUNcUiG1d80eothHOeFOFE2HazFRVI2TqAd2M8nfdPGzIytQLwPH2BSb//8KK2929Y02J2V1w&#10;pqnFjL4BNdK1kgw6ANRZX8Dvwd672KK3KyN+eBiyN5Yo+MFnX7k2+qJBtk9oP7+gLfeBCSjHk/NJ&#10;foahCNimE0wzjSOj4vDaOh8+S9OyeJlxh7oSyLRb+RDzU3FwSYUZ1ZQ3jVJJcPV6qRzbESaPVOPF&#10;JL1V2/arKQc1Ug4UgBpE6dXnBzXi+z5MyuWP4yvNOoA2niICEwTqVooCrq0FmF7XnJGqsRMiuJT4&#10;zeshbJ8vz6f58tD7G7fY3TX5Te+XTHEgqEvp2KRMDB/AeMU/3tamfMZknekp7624aRBtRT7ckwPH&#10;UTb2NtzhqJRBL2a4cbYx7tff9NEf1IOVsw47gz5/bslJztQXDVJejE5P45Il4fRsOobgji3rY4ve&#10;tkuD4YzwQ1iRrtE/qMO1cqZ9wnovYlaYSAvk7hEdhGXodxkfhJCLRXLDYlkKK/1gRQwecYo4Pu6f&#10;yNmBSgEkvDWH/aLiHaN63/hSm8U2mKpJdHvFdeA+ljJNY/hA4tYfy8nr9Zub/wYAAP//AwBQSwME&#10;FAAGAAgAAAAhAC7ErFrcAAAACAEAAA8AAABkcnMvZG93bnJldi54bWxMj8FOwzAQRO9I/IO1SFxQ&#10;6yRCIQpxKoTUE4eKUnF24yWJaq9T203D37Oc4Dg7o9k3zWZxVswY4uhJQb7OQCB13ozUKzh8bFcV&#10;iJg0GW09oYJvjLBpb28aXRt/pXec96kXXEKx1gqGlKZaytgN6HRc+wmJvS8fnE4sQy9N0Fcud1YW&#10;WVZKp0fiD4Oe8HXA7rS/OAXZ7q3bzcE99J/b83k++bzypVXq/m55eQaRcEl/YfjFZ3RomenoL2Si&#10;sApWJU9JCqoCBNuP+RPrI+cKvsi2kf8HtD8AAAD//wMAUEsBAi0AFAAGAAgAAAAhALaDOJL+AAAA&#10;4QEAABMAAAAAAAAAAAAAAAAAAAAAAFtDb250ZW50X1R5cGVzXS54bWxQSwECLQAUAAYACAAAACEA&#10;OP0h/9YAAACUAQAACwAAAAAAAAAAAAAAAAAvAQAAX3JlbHMvLnJlbHNQSwECLQAUAAYACAAAACEA&#10;4C+di4gCAAAuBQAADgAAAAAAAAAAAAAAAAAuAgAAZHJzL2Uyb0RvYy54bWxQSwECLQAUAAYACAAA&#10;ACEALsSsWtwAAAAIAQAADwAAAAAAAAAAAAAAAADiBAAAZHJzL2Rvd25yZXYueG1sUEsFBgAAAAAE&#10;AAQA8wAAAOsFAAAAAA==&#10;" fillcolor="#cde9f4" strokecolor="#0070c0" strokeweight="1pt">
                      <v:path arrowok="t"/>
                    </v:rect>
                  </w:pict>
                </mc:Fallback>
              </mc:AlternateContent>
            </w:r>
          </w:p>
          <w:p w14:paraId="71791A6F" w14:textId="042C6DE8" w:rsidR="00612A35" w:rsidRPr="006E7A7B" w:rsidRDefault="00483DA0" w:rsidP="008225C4">
            <w:pPr>
              <w:pStyle w:val="Default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hyperlink r:id="rId11" w:history="1">
              <w:r w:rsidR="00074422" w:rsidRPr="00701A4C">
                <w:rPr>
                  <w:rStyle w:val="Hyperlink"/>
                  <w:rFonts w:ascii="Candara" w:hAnsi="Candara"/>
                  <w:b/>
                  <w:sz w:val="22"/>
                  <w:szCs w:val="22"/>
                </w:rPr>
                <w:t>https://probation.sccgov.org</w:t>
              </w:r>
            </w:hyperlink>
          </w:p>
          <w:p w14:paraId="4DF80C22" w14:textId="5F1660D1" w:rsidR="008638BC" w:rsidRPr="006E7A7B" w:rsidRDefault="00962D2D" w:rsidP="008225C4">
            <w:pPr>
              <w:pStyle w:val="Default"/>
              <w:spacing w:before="120"/>
              <w:rPr>
                <w:rFonts w:ascii="Candara" w:hAnsi="Candara"/>
                <w:b/>
                <w:color w:val="auto"/>
                <w:sz w:val="16"/>
                <w:szCs w:val="16"/>
              </w:rPr>
            </w:pPr>
            <w:r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Select “Adult</w:t>
            </w:r>
            <w:r w:rsidR="007C176B"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 xml:space="preserve">” </w:t>
            </w:r>
            <w:r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tab and scroll to</w:t>
            </w:r>
            <w:r w:rsidR="00D3584E"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 xml:space="preserve"> “Electronic M</w:t>
            </w:r>
            <w:r w:rsidR="00300C72"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onitoring Program</w:t>
            </w:r>
            <w:r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- EMP</w:t>
            </w:r>
            <w:r w:rsidR="00414B8B"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.</w:t>
            </w:r>
            <w:r w:rsidR="007C176B"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”</w:t>
            </w:r>
            <w:r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 xml:space="preserve">  PDF Application links are at the bottom </w:t>
            </w:r>
            <w:r w:rsidR="008225C4">
              <w:rPr>
                <w:rFonts w:ascii="Candara" w:hAnsi="Candara"/>
                <w:b/>
                <w:color w:val="auto"/>
                <w:sz w:val="16"/>
                <w:szCs w:val="16"/>
              </w:rPr>
              <w:t xml:space="preserve">         </w:t>
            </w:r>
            <w:r w:rsidRPr="006E7A7B">
              <w:rPr>
                <w:rFonts w:ascii="Candara" w:hAnsi="Candara"/>
                <w:b/>
                <w:color w:val="auto"/>
                <w:sz w:val="16"/>
                <w:szCs w:val="16"/>
              </w:rPr>
              <w:t>of the web page.</w:t>
            </w:r>
          </w:p>
          <w:p w14:paraId="3FF65F46" w14:textId="77777777" w:rsidR="008638BC" w:rsidRPr="006E7A7B" w:rsidRDefault="008638BC" w:rsidP="006E7A7B">
            <w:pPr>
              <w:pStyle w:val="Default"/>
              <w:spacing w:before="120"/>
              <w:jc w:val="center"/>
              <w:rPr>
                <w:rFonts w:ascii="Candara" w:hAnsi="Candara"/>
                <w:b/>
                <w:color w:val="auto"/>
                <w:sz w:val="16"/>
                <w:szCs w:val="16"/>
              </w:rPr>
            </w:pPr>
          </w:p>
          <w:p w14:paraId="69B1E1FC" w14:textId="0F7447B6" w:rsidR="00C61574" w:rsidRPr="006E7A7B" w:rsidRDefault="0001517C" w:rsidP="00461433">
            <w:pPr>
              <w:pStyle w:val="Default"/>
              <w:numPr>
                <w:ilvl w:val="0"/>
                <w:numId w:val="21"/>
              </w:numPr>
              <w:tabs>
                <w:tab w:val="left" w:pos="1350"/>
                <w:tab w:val="center" w:pos="1898"/>
              </w:tabs>
              <w:spacing w:before="120"/>
              <w:rPr>
                <w:rFonts w:ascii="Candara" w:hAnsi="Candara"/>
                <w:color w:val="auto"/>
                <w:sz w:val="20"/>
                <w:szCs w:val="20"/>
              </w:rPr>
            </w:pPr>
            <w:r w:rsidRPr="006E7A7B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r w:rsidR="00FB3E6C" w:rsidRPr="006E7A7B">
              <w:rPr>
                <w:rFonts w:ascii="Candara" w:hAnsi="Candara"/>
                <w:color w:val="auto"/>
                <w:sz w:val="20"/>
                <w:szCs w:val="20"/>
              </w:rPr>
              <w:t xml:space="preserve">n </w:t>
            </w:r>
            <w:r w:rsidR="002A31CC" w:rsidRPr="006E7A7B">
              <w:rPr>
                <w:rFonts w:ascii="Candara" w:hAnsi="Candara"/>
                <w:color w:val="auto"/>
                <w:sz w:val="20"/>
                <w:szCs w:val="20"/>
              </w:rPr>
              <w:t>person:</w:t>
            </w:r>
          </w:p>
          <w:p w14:paraId="68376D6A" w14:textId="0C0BA91B" w:rsidR="0001517C" w:rsidRPr="006E7A7B" w:rsidRDefault="00223E48" w:rsidP="006E7A7B">
            <w:pPr>
              <w:pStyle w:val="Default"/>
              <w:ind w:left="1080"/>
              <w:rPr>
                <w:rFonts w:ascii="Candara" w:hAnsi="Candara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46DFAD2" wp14:editId="30DD5B6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46990</wp:posOffset>
                      </wp:positionV>
                      <wp:extent cx="2686050" cy="47625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82A6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46A6" id="Rectangle 21" o:spid="_x0000_s1026" style="position:absolute;margin-left:-2.25pt;margin-top:3.7pt;width:211.5pt;height:3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hshQIAAC4FAAAOAAAAZHJzL2Uyb0RvYy54bWysVMlu2zAUvBfoPxC8N5IFx06FyIHhIEUB&#10;Nw2aFDnTFLWg3ErSS/r1HVJy4qQ9FdWBeBvfMpyny6uDkmQnnO+NrujkLKdEaG7qXrcV/f5w8+GC&#10;Eh+Yrpk0WlT0SXh6tXj/7nJvS1GYzshaOIIk2pd7W9EuBFtmmeedUMyfGSs0nI1xigWors1qx/bI&#10;rmRW5Pks2xtXW2e48B7W68FJFyl/0wgevjaNF4HIiqK3kE6Xzk08s8UlK1vHbNfzsQ32D10o1msU&#10;fU51zQIjW9f/kUr13BlvmnDGjcpM0/RcpBkwzSR/M819x6xIswAcb59h8v8vLb/d3TnS1xUtJpRo&#10;pvBG34Aa060UBDYAtLe+RNy9vXNxRG/Xhv/wcGSvPFHxY8yhcSrGYkBySGg/PaMtDoFwGIvZxSw/&#10;x6Nw+KbzWQE5JmXl8bZ1PnwSRpEoVNShrwQy2619GEKPIakxI/v6ppcyKa7drKQjO4aXR6liOUt3&#10;5VZ9MfVozvENFIAZRBnMF0czWvFDmtSWP80vNdmD8MUcGQhnoG4jWYCoLMD0uqWEyRY7wYNLhV/d&#10;HtMO9fJ8nq+Os78Ki9NdM98Ncck1QiR1HFIkho9gvOAfpY2pn/CyzgyU95bf9Mi2Zj7cMQeOo23s&#10;bfiKo5EGs5hRoqQz7tff7DEe1IOXkj12BnP+3DInKJGfNUj5cTKdxiVLyvR8XkBxp57NqUdv1crg&#10;ccA7dJfEGB/kUWycUY9Y72WsChfTHLUHREdlFYZdxg+Ci+UyhWGxLAtrfW95TB5xijg+HB6ZsyOV&#10;Akh4a477xco3jBpi401tlttgmj7R7QXXkftYysSM8QcSt/5UT1Evv7nFbwAAAP//AwBQSwMEFAAG&#10;AAgAAAAhAFUy2e3cAAAABwEAAA8AAABkcnMvZG93bnJldi54bWxMjsFOwzAQRO9I/IO1SFxQ66QK&#10;JQrZVAipJw4VLeLsxksS1V6ntpuGv8ec4Dia0ZtXb2ZrxEQ+DI4R8mUGgrh1euAO4eOwXZQgQlSs&#10;lXFMCN8UYNPc3tSq0u7K7zTtYycShEOlEPoYx0rK0PZkVVi6kTh1X85bFVP0ndReXRPcGrnKsrW0&#10;auD00KuRXntqT/uLRch2b+1u8vah+9yez9PJ5aVbG8T7u/nlGUSkOf6N4Vc/qUOTnI7uwjoIg7Ao&#10;HtMS4akAkeoiL1M+IpSrAmRTy//+zQ8AAAD//wMAUEsBAi0AFAAGAAgAAAAhALaDOJL+AAAA4QEA&#10;ABMAAAAAAAAAAAAAAAAAAAAAAFtDb250ZW50X1R5cGVzXS54bWxQSwECLQAUAAYACAAAACEAOP0h&#10;/9YAAACUAQAACwAAAAAAAAAAAAAAAAAvAQAAX3JlbHMvLnJlbHNQSwECLQAUAAYACAAAACEArElY&#10;bIUCAAAuBQAADgAAAAAAAAAAAAAAAAAuAgAAZHJzL2Uyb0RvYy54bWxQSwECLQAUAAYACAAAACEA&#10;VTLZ7dwAAAAHAQAADwAAAAAAAAAAAAAAAADfBAAAZHJzL2Rvd25yZXYueG1sUEsFBgAAAAAEAAQA&#10;8wAAAOgFAAAAAA==&#10;" fillcolor="#cde9f4" strokecolor="#0070c0" strokeweight="1pt">
                      <v:path arrowok="t"/>
                    </v:rect>
                  </w:pict>
                </mc:Fallback>
              </mc:AlternateContent>
            </w:r>
          </w:p>
          <w:p w14:paraId="316D78CA" w14:textId="77777777" w:rsidR="00FB3E6C" w:rsidRPr="006E7A7B" w:rsidRDefault="003B0B78" w:rsidP="008225C4">
            <w:pPr>
              <w:pStyle w:val="Foo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6E7A7B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  </w:t>
            </w:r>
            <w:r w:rsidR="00FB3E6C" w:rsidRPr="006E7A7B">
              <w:rPr>
                <w:rFonts w:ascii="Calibri" w:hAnsi="Calibri"/>
                <w:b/>
                <w:color w:val="auto"/>
                <w:sz w:val="18"/>
                <w:szCs w:val="18"/>
              </w:rPr>
              <w:t>Santa Clara County Adult Probation Department</w:t>
            </w:r>
          </w:p>
          <w:p w14:paraId="7EB2457A" w14:textId="182053E8" w:rsidR="00B15C85" w:rsidRDefault="0088274B" w:rsidP="0088274B">
            <w:pPr>
              <w:pStyle w:val="Footer"/>
              <w:tabs>
                <w:tab w:val="center" w:pos="2115"/>
                <w:tab w:val="left" w:pos="3810"/>
                <w:tab w:val="right" w:pos="4230"/>
              </w:tabs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ab/>
            </w:r>
            <w:r w:rsidR="0001517C" w:rsidRPr="006E7A7B">
              <w:rPr>
                <w:rFonts w:ascii="Calibri" w:hAnsi="Calibri"/>
                <w:b/>
                <w:color w:val="auto"/>
                <w:sz w:val="18"/>
                <w:szCs w:val="18"/>
              </w:rPr>
              <w:t>2314 N. First</w:t>
            </w:r>
            <w:r w:rsidR="00FB3E6C" w:rsidRPr="006E7A7B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St. San Jose, CA. 95131</w:t>
            </w:r>
          </w:p>
          <w:p w14:paraId="4FBFABD5" w14:textId="12D55A36" w:rsidR="00842C3A" w:rsidRPr="006E7A7B" w:rsidRDefault="0088274B" w:rsidP="0088274B">
            <w:pPr>
              <w:pStyle w:val="Footer"/>
              <w:tabs>
                <w:tab w:val="center" w:pos="2115"/>
                <w:tab w:val="left" w:pos="3810"/>
                <w:tab w:val="right" w:pos="4230"/>
              </w:tabs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ab/>
            </w: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ab/>
            </w:r>
          </w:p>
          <w:p w14:paraId="072FEB0A" w14:textId="74DDC596" w:rsidR="00300C72" w:rsidRPr="006E7A7B" w:rsidRDefault="00842C3A" w:rsidP="006E7A7B">
            <w:pPr>
              <w:pStyle w:val="Heading1"/>
              <w:numPr>
                <w:ilvl w:val="0"/>
                <w:numId w:val="16"/>
              </w:numPr>
              <w:spacing w:line="276" w:lineRule="auto"/>
              <w:jc w:val="both"/>
              <w:rPr>
                <w:rFonts w:ascii="Candara" w:hAnsi="Candara"/>
                <w:b w:val="0"/>
                <w:color w:val="auto"/>
                <w:sz w:val="20"/>
              </w:rPr>
            </w:pPr>
            <w:r w:rsidRPr="006E7A7B">
              <w:rPr>
                <w:rFonts w:ascii="Candara" w:hAnsi="Candara"/>
                <w:b w:val="0"/>
                <w:color w:val="auto"/>
                <w:sz w:val="20"/>
              </w:rPr>
              <w:t>Submit completed application</w:t>
            </w:r>
            <w:r w:rsidR="0093270D" w:rsidRPr="006E7A7B">
              <w:rPr>
                <w:rFonts w:ascii="Candara" w:hAnsi="Candara"/>
                <w:b w:val="0"/>
                <w:color w:val="auto"/>
                <w:sz w:val="20"/>
              </w:rPr>
              <w:t xml:space="preserve"> via </w:t>
            </w:r>
            <w:r w:rsidR="00DD06F6">
              <w:rPr>
                <w:rFonts w:ascii="Candara" w:hAnsi="Candara"/>
                <w:b w:val="0"/>
                <w:color w:val="auto"/>
                <w:sz w:val="20"/>
              </w:rPr>
              <w:t>email</w:t>
            </w:r>
            <w:r w:rsidR="005C444A" w:rsidRPr="006E7A7B">
              <w:rPr>
                <w:rFonts w:ascii="Candara" w:hAnsi="Candara"/>
                <w:b w:val="0"/>
                <w:color w:val="auto"/>
                <w:sz w:val="20"/>
              </w:rPr>
              <w:t xml:space="preserve">, fax </w:t>
            </w:r>
            <w:r w:rsidR="0093270D" w:rsidRPr="006E7A7B">
              <w:rPr>
                <w:rFonts w:ascii="Candara" w:hAnsi="Candara"/>
                <w:b w:val="0"/>
                <w:color w:val="auto"/>
                <w:sz w:val="20"/>
              </w:rPr>
              <w:t>or in-person</w:t>
            </w:r>
            <w:r w:rsidRPr="006E7A7B">
              <w:rPr>
                <w:rFonts w:ascii="Candara" w:hAnsi="Candara"/>
                <w:b w:val="0"/>
                <w:color w:val="auto"/>
                <w:sz w:val="20"/>
              </w:rPr>
              <w:t xml:space="preserve"> to the Adult Probation Department along with th</w:t>
            </w:r>
            <w:r w:rsidR="00300C72" w:rsidRPr="006E7A7B">
              <w:rPr>
                <w:rFonts w:ascii="Candara" w:hAnsi="Candara"/>
                <w:b w:val="0"/>
                <w:color w:val="auto"/>
                <w:sz w:val="20"/>
              </w:rPr>
              <w:t>e following necessary documents</w:t>
            </w:r>
            <w:r w:rsidR="001E0499" w:rsidRPr="006E7A7B">
              <w:rPr>
                <w:rFonts w:ascii="Candara" w:hAnsi="Candara"/>
                <w:b w:val="0"/>
                <w:color w:val="auto"/>
                <w:sz w:val="20"/>
              </w:rPr>
              <w:t>:</w:t>
            </w:r>
          </w:p>
          <w:p w14:paraId="54589E3F" w14:textId="77777777" w:rsidR="00842C3A" w:rsidRPr="006E7A7B" w:rsidRDefault="00ED7C9A" w:rsidP="006E7A7B">
            <w:pPr>
              <w:pStyle w:val="Default"/>
              <w:numPr>
                <w:ilvl w:val="0"/>
                <w:numId w:val="18"/>
              </w:numPr>
              <w:spacing w:after="100" w:afterAutospacing="1" w:line="276" w:lineRule="auto"/>
              <w:rPr>
                <w:rFonts w:ascii="Candara" w:hAnsi="Candara"/>
                <w:color w:val="auto"/>
                <w:sz w:val="20"/>
                <w:szCs w:val="20"/>
              </w:rPr>
            </w:pPr>
            <w:r w:rsidRPr="006E7A7B">
              <w:rPr>
                <w:rFonts w:ascii="Candara" w:hAnsi="Candara"/>
                <w:color w:val="auto"/>
                <w:sz w:val="20"/>
                <w:szCs w:val="20"/>
              </w:rPr>
              <w:t>Court Minute Order</w:t>
            </w:r>
          </w:p>
          <w:p w14:paraId="66BBB8E4" w14:textId="77777777" w:rsidR="00C669F7" w:rsidRPr="006E7A7B" w:rsidRDefault="008208F4" w:rsidP="006E7A7B">
            <w:pPr>
              <w:pStyle w:val="Default"/>
              <w:numPr>
                <w:ilvl w:val="0"/>
                <w:numId w:val="18"/>
              </w:numPr>
              <w:spacing w:after="100" w:afterAutospacing="1" w:line="276" w:lineRule="auto"/>
              <w:rPr>
                <w:rFonts w:ascii="Candara" w:hAnsi="Candara"/>
                <w:color w:val="auto"/>
                <w:sz w:val="20"/>
                <w:szCs w:val="20"/>
              </w:rPr>
            </w:pPr>
            <w:r w:rsidRPr="006E7A7B">
              <w:rPr>
                <w:rFonts w:ascii="Candara" w:hAnsi="Candara"/>
                <w:color w:val="auto"/>
                <w:sz w:val="20"/>
                <w:szCs w:val="20"/>
              </w:rPr>
              <w:t>Police Report</w:t>
            </w:r>
            <w:r w:rsidR="00C669F7" w:rsidRPr="006E7A7B">
              <w:rPr>
                <w:rFonts w:ascii="Candara" w:hAnsi="Candara"/>
                <w:b/>
                <w:color w:val="auto"/>
                <w:sz w:val="20"/>
                <w:szCs w:val="20"/>
              </w:rPr>
              <w:t xml:space="preserve">             </w:t>
            </w:r>
          </w:p>
          <w:p w14:paraId="42B52556" w14:textId="73B762D4" w:rsidR="005C444A" w:rsidRPr="00494D7D" w:rsidRDefault="00193B5C" w:rsidP="009F0EEC">
            <w:pPr>
              <w:pStyle w:val="Default"/>
              <w:jc w:val="both"/>
              <w:rPr>
                <w:rFonts w:ascii="Candara" w:hAnsi="Candara"/>
                <w:i/>
                <w:color w:val="auto"/>
                <w:sz w:val="20"/>
                <w:szCs w:val="20"/>
              </w:rPr>
            </w:pPr>
            <w:r w:rsidRPr="006E7A7B">
              <w:rPr>
                <w:rFonts w:ascii="Candara" w:hAnsi="Candara"/>
                <w:b/>
                <w:i/>
                <w:color w:val="auto"/>
                <w:sz w:val="20"/>
                <w:szCs w:val="20"/>
              </w:rPr>
              <w:t>Process</w:t>
            </w:r>
            <w:r w:rsidR="00C669F7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>:</w:t>
            </w:r>
            <w:r w:rsidR="007377E1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</w:t>
            </w:r>
            <w:r w:rsidR="00300C72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>Applications must be submitted</w:t>
            </w:r>
            <w:r w:rsidR="009F0EEC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at least </w:t>
            </w:r>
            <w:r w:rsidR="009F0EEC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</w:t>
            </w:r>
            <w:r w:rsidR="00DD06F6">
              <w:rPr>
                <w:rFonts w:ascii="Candara" w:hAnsi="Candara"/>
                <w:b/>
                <w:i/>
                <w:color w:val="auto"/>
                <w:sz w:val="20"/>
                <w:szCs w:val="20"/>
              </w:rPr>
              <w:t>4-6</w:t>
            </w:r>
            <w:r w:rsidR="009F0EEC" w:rsidRPr="006E7A7B">
              <w:rPr>
                <w:rFonts w:ascii="Candara" w:hAnsi="Candara"/>
                <w:b/>
                <w:i/>
                <w:color w:val="auto"/>
                <w:sz w:val="20"/>
                <w:szCs w:val="20"/>
              </w:rPr>
              <w:t xml:space="preserve"> weeks prior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to the</w:t>
            </w:r>
            <w:r w:rsidR="009F0EEC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scheduled “Stay/Surrender 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</w:rPr>
              <w:t>date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  <w:lang w:val="vi-VN"/>
              </w:rPr>
              <w:t xml:space="preserve">”. 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</w:rPr>
              <w:t>After the application is received, an EMP Probation Officer will screen the application</w:t>
            </w:r>
            <w:r w:rsidR="00DF7246">
              <w:rPr>
                <w:rFonts w:ascii="Candara" w:hAnsi="Candara"/>
                <w:i/>
                <w:color w:val="auto"/>
                <w:sz w:val="20"/>
              </w:rPr>
              <w:t xml:space="preserve"> for eligibility</w:t>
            </w:r>
            <w:r w:rsidR="009F0EEC" w:rsidRPr="006E7A7B">
              <w:rPr>
                <w:rFonts w:ascii="Candara" w:hAnsi="Candara"/>
                <w:i/>
                <w:color w:val="auto"/>
                <w:sz w:val="20"/>
              </w:rPr>
              <w:t>, contact the applicant to discuss the next steps, arrange for an interview</w:t>
            </w:r>
            <w:r w:rsidR="006849FA">
              <w:rPr>
                <w:rFonts w:ascii="Candara" w:hAnsi="Candara"/>
                <w:i/>
                <w:color w:val="auto"/>
                <w:sz w:val="20"/>
              </w:rPr>
              <w:t xml:space="preserve"> to</w:t>
            </w:r>
            <w:r w:rsidR="00DF7246">
              <w:rPr>
                <w:rFonts w:ascii="Candara" w:hAnsi="Candara"/>
                <w:i/>
                <w:color w:val="auto"/>
                <w:sz w:val="20"/>
              </w:rPr>
              <w:t xml:space="preserve"> determine suitability for program</w:t>
            </w:r>
            <w:r w:rsidR="00DD06F6">
              <w:rPr>
                <w:rFonts w:ascii="Candara" w:hAnsi="Candara"/>
                <w:i/>
                <w:color w:val="auto"/>
                <w:sz w:val="20"/>
              </w:rPr>
              <w:t>.</w:t>
            </w:r>
            <w:r w:rsidR="009A26D5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 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</w:rPr>
              <w:t>In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  <w:lang w:val="vi-VN"/>
              </w:rPr>
              <w:t xml:space="preserve"> addition, a</w:t>
            </w:r>
            <w:r w:rsidR="009A26D5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>pplicants are to Pre-Book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  <w:lang w:val="vi-VN"/>
              </w:rPr>
              <w:t xml:space="preserve"> 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</w:rPr>
              <w:t>by</w:t>
            </w:r>
            <w:r w:rsidR="009A26D5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or on their “Pre-Processing 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</w:rPr>
              <w:t>date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  <w:lang w:val="vi-VN"/>
              </w:rPr>
              <w:t xml:space="preserve">” </w:t>
            </w:r>
            <w:r w:rsidR="009A26D5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at Santa Clara County Main Jail, located 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</w:rPr>
              <w:t>at</w:t>
            </w:r>
            <w:r w:rsidR="009A26D5">
              <w:rPr>
                <w:rFonts w:ascii="Candara" w:hAnsi="Candara"/>
                <w:i/>
                <w:color w:val="auto"/>
                <w:sz w:val="20"/>
                <w:szCs w:val="20"/>
                <w:lang w:val="vi-VN"/>
              </w:rPr>
              <w:t>:</w:t>
            </w:r>
            <w:r w:rsidR="009A26D5" w:rsidRPr="006E7A7B">
              <w:rPr>
                <w:rFonts w:ascii="Candara" w:hAnsi="Candara"/>
                <w:i/>
                <w:color w:val="auto"/>
                <w:sz w:val="20"/>
                <w:szCs w:val="20"/>
              </w:rPr>
              <w:t xml:space="preserve"> 150 W. Hedding Street, San Jose, CA 95110 </w:t>
            </w:r>
          </w:p>
          <w:p w14:paraId="3A661FC6" w14:textId="77777777" w:rsidR="0048071D" w:rsidRPr="006E7A7B" w:rsidRDefault="0048071D" w:rsidP="006E7A7B">
            <w:pPr>
              <w:pStyle w:val="Heading1"/>
              <w:spacing w:before="0" w:line="240" w:lineRule="auto"/>
              <w:rPr>
                <w:rFonts w:ascii="Candara" w:hAnsi="Candara"/>
                <w:color w:val="auto"/>
                <w:sz w:val="20"/>
                <w:u w:val="single"/>
              </w:rPr>
            </w:pPr>
          </w:p>
          <w:p w14:paraId="7F2D40A9" w14:textId="27AC6F78" w:rsidR="00E42C0C" w:rsidRPr="006E7A7B" w:rsidRDefault="00E42C0C" w:rsidP="000517CE">
            <w:pPr>
              <w:spacing w:after="0" w:line="240" w:lineRule="auto"/>
              <w:jc w:val="both"/>
            </w:pPr>
          </w:p>
        </w:tc>
        <w:tc>
          <w:tcPr>
            <w:tcW w:w="649" w:type="dxa"/>
            <w:shd w:val="clear" w:color="auto" w:fill="auto"/>
          </w:tcPr>
          <w:p w14:paraId="061687B0" w14:textId="77777777" w:rsidR="00AE2518" w:rsidRPr="006E7A7B" w:rsidRDefault="00AE2518">
            <w:pPr>
              <w:rPr>
                <w:rFonts w:ascii="Calibri" w:hAnsi="Calibri"/>
              </w:rPr>
            </w:pPr>
          </w:p>
          <w:p w14:paraId="29601AD2" w14:textId="77777777" w:rsidR="00612A35" w:rsidRPr="006E7A7B" w:rsidRDefault="00612A35">
            <w:pPr>
              <w:rPr>
                <w:rFonts w:ascii="Calibri" w:hAnsi="Calibri"/>
              </w:rPr>
            </w:pPr>
          </w:p>
          <w:p w14:paraId="66F1A063" w14:textId="77777777" w:rsidR="00612A35" w:rsidRPr="006E7A7B" w:rsidRDefault="00612A35">
            <w:pPr>
              <w:rPr>
                <w:rFonts w:ascii="Calibri" w:hAnsi="Calibri"/>
              </w:rPr>
            </w:pPr>
          </w:p>
          <w:p w14:paraId="448D69A1" w14:textId="77777777" w:rsidR="007C176B" w:rsidRPr="006E7A7B" w:rsidRDefault="00613AF6">
            <w:pPr>
              <w:rPr>
                <w:rFonts w:ascii="Calibri" w:hAnsi="Calibri"/>
              </w:rPr>
            </w:pPr>
            <w:r w:rsidRPr="006E7A7B">
              <w:rPr>
                <w:rFonts w:ascii="Calibri" w:hAnsi="Calibri"/>
              </w:rPr>
              <w:t xml:space="preserve">       </w:t>
            </w:r>
          </w:p>
        </w:tc>
        <w:tc>
          <w:tcPr>
            <w:tcW w:w="720" w:type="dxa"/>
            <w:shd w:val="clear" w:color="auto" w:fill="auto"/>
          </w:tcPr>
          <w:p w14:paraId="001A1930" w14:textId="77777777" w:rsidR="00AE2518" w:rsidRPr="006E7A7B" w:rsidRDefault="00AE2518">
            <w:pPr>
              <w:rPr>
                <w:rFonts w:ascii="Calibri" w:hAnsi="Calibri"/>
              </w:rPr>
            </w:pPr>
          </w:p>
          <w:p w14:paraId="0444F5CC" w14:textId="77777777" w:rsidR="00BB63E1" w:rsidRPr="006E7A7B" w:rsidRDefault="00BB63E1">
            <w:pPr>
              <w:rPr>
                <w:rFonts w:ascii="Calibri" w:hAnsi="Calibri"/>
              </w:rPr>
            </w:pPr>
          </w:p>
          <w:p w14:paraId="64963ECB" w14:textId="77777777" w:rsidR="00BB63E1" w:rsidRPr="006E7A7B" w:rsidRDefault="00BB63E1">
            <w:pPr>
              <w:rPr>
                <w:rFonts w:ascii="Calibri" w:hAnsi="Calibri"/>
              </w:rPr>
            </w:pPr>
          </w:p>
          <w:p w14:paraId="72F3D5FC" w14:textId="77777777" w:rsidR="00BB63E1" w:rsidRPr="006E7A7B" w:rsidRDefault="00BB63E1">
            <w:pPr>
              <w:rPr>
                <w:rFonts w:ascii="Calibri" w:hAnsi="Calibri"/>
              </w:rPr>
            </w:pPr>
          </w:p>
        </w:tc>
        <w:tc>
          <w:tcPr>
            <w:tcW w:w="3851" w:type="dxa"/>
            <w:shd w:val="clear" w:color="auto" w:fill="auto"/>
          </w:tcPr>
          <w:p w14:paraId="0F650F40" w14:textId="30BF9CD7" w:rsidR="00764BF4" w:rsidRPr="006E7A7B" w:rsidRDefault="00223E48" w:rsidP="006E7A7B">
            <w:pPr>
              <w:jc w:val="center"/>
              <w:rPr>
                <w:rFonts w:ascii="Calibri" w:hAnsi="Calibri"/>
              </w:rPr>
            </w:pPr>
            <w:r w:rsidRPr="006E7A7B">
              <w:rPr>
                <w:noProof/>
                <w:bdr w:val="single" w:sz="4" w:space="0" w:color="auto"/>
                <w:lang w:eastAsia="en-US"/>
              </w:rPr>
              <w:drawing>
                <wp:inline distT="0" distB="0" distL="0" distR="0" wp14:anchorId="2B2BA53C" wp14:editId="7F3509A3">
                  <wp:extent cx="1990725" cy="3152775"/>
                  <wp:effectExtent l="0" t="0" r="0" b="0"/>
                  <wp:docPr id="4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1" r="11885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6B08A" w14:textId="77777777" w:rsidR="00611855" w:rsidRPr="006E7A7B" w:rsidRDefault="00764BF4" w:rsidP="006E7A7B">
            <w:pPr>
              <w:pStyle w:val="Heading1"/>
              <w:jc w:val="center"/>
              <w:rPr>
                <w:rFonts w:ascii="Candara" w:hAnsi="Candara"/>
                <w:color w:val="0070C0"/>
                <w:sz w:val="36"/>
                <w:szCs w:val="36"/>
              </w:rPr>
            </w:pPr>
            <w:r w:rsidRPr="006E7A7B">
              <w:rPr>
                <w:rFonts w:ascii="Candara" w:hAnsi="Candara"/>
                <w:color w:val="0070C0"/>
                <w:sz w:val="36"/>
                <w:szCs w:val="36"/>
              </w:rPr>
              <w:t>Equipment</w:t>
            </w:r>
          </w:p>
          <w:p w14:paraId="22AF7101" w14:textId="77777777" w:rsidR="00764BF4" w:rsidRPr="006E7A7B" w:rsidRDefault="00E04A91" w:rsidP="006E7A7B">
            <w:pPr>
              <w:pStyle w:val="Heading1"/>
              <w:jc w:val="both"/>
              <w:rPr>
                <w:rFonts w:ascii="Candara" w:hAnsi="Candara"/>
              </w:rPr>
            </w:pPr>
            <w:r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The Santa Clara County Probation Department </w:t>
            </w:r>
            <w:r w:rsidR="000F0F14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uses the latest technology in </w:t>
            </w:r>
            <w:r w:rsidR="00820BD7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m</w:t>
            </w:r>
            <w:r w:rsidR="000F0F14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onitoring equipment</w:t>
            </w:r>
            <w:r w:rsidR="00C64729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; </w:t>
            </w:r>
            <w:r w:rsidR="0093270D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i.e.</w:t>
            </w:r>
            <w:r w:rsidR="00C64729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 </w:t>
            </w:r>
            <w:r w:rsidR="00820BD7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GPS</w:t>
            </w:r>
            <w:r w:rsidR="00C64729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, breathalyzer,</w:t>
            </w:r>
            <w:r w:rsidR="00A01D48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 and</w:t>
            </w:r>
            <w:r w:rsidR="002F0FAD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 Continuous Alcohol</w:t>
            </w:r>
            <w:r w:rsidR="008D4DE0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>/ Transdermal</w:t>
            </w:r>
            <w:r w:rsidR="00820BD7" w:rsidRPr="006E7A7B">
              <w:rPr>
                <w:rFonts w:ascii="Candara" w:hAnsi="Candara"/>
                <w:b w:val="0"/>
                <w:color w:val="auto"/>
                <w:sz w:val="22"/>
                <w:szCs w:val="22"/>
              </w:rPr>
              <w:t xml:space="preserve"> monitoring devices.</w:t>
            </w:r>
          </w:p>
          <w:p w14:paraId="3F8F0928" w14:textId="77777777" w:rsidR="0039045B" w:rsidRPr="006E7A7B" w:rsidRDefault="00611855" w:rsidP="006E7A7B">
            <w:pPr>
              <w:pStyle w:val="Heading1"/>
              <w:jc w:val="center"/>
              <w:rPr>
                <w:rFonts w:ascii="Candara" w:hAnsi="Candara"/>
                <w:color w:val="0070C0"/>
                <w:sz w:val="36"/>
                <w:szCs w:val="36"/>
              </w:rPr>
            </w:pPr>
            <w:r w:rsidRPr="006E7A7B">
              <w:rPr>
                <w:rFonts w:ascii="Candara" w:hAnsi="Candara"/>
                <w:color w:val="0070C0"/>
                <w:sz w:val="36"/>
                <w:szCs w:val="36"/>
              </w:rPr>
              <w:t>Monitoring</w:t>
            </w:r>
          </w:p>
          <w:p w14:paraId="6D5F1C8B" w14:textId="77777777" w:rsidR="00611855" w:rsidRPr="006E7A7B" w:rsidRDefault="0039045B" w:rsidP="000517CE">
            <w:pPr>
              <w:pStyle w:val="Heading1"/>
              <w:jc w:val="both"/>
              <w:rPr>
                <w:rFonts w:ascii="Candara" w:hAnsi="Candara"/>
                <w:b w:val="0"/>
                <w:color w:val="000000"/>
                <w:sz w:val="22"/>
                <w:szCs w:val="22"/>
              </w:rPr>
            </w:pP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EMP is a 24-hour home detention program</w:t>
            </w:r>
            <w:r w:rsidR="006D045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,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</w:t>
            </w:r>
            <w:r w:rsidR="00613AF6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accomplished by web monitoring and supervision by Probation staff. C</w:t>
            </w:r>
            <w:r w:rsidR="002212C7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lients are permitted to leave home only in response to specific Court Orders</w:t>
            </w:r>
            <w:r w:rsidR="006D045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, </w:t>
            </w:r>
            <w:r w:rsidR="004844E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for </w:t>
            </w:r>
            <w:r w:rsidR="006D045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work/school,</w:t>
            </w:r>
            <w:r w:rsidR="002212C7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</w:t>
            </w:r>
            <w:r w:rsidR="006D045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or with P</w:t>
            </w:r>
            <w:r w:rsidR="00333C9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robation </w:t>
            </w:r>
            <w:r w:rsidR="008D4DE0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Staff</w:t>
            </w:r>
            <w:r w:rsidR="006D045C"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 xml:space="preserve"> approval</w:t>
            </w:r>
            <w:r w:rsidRPr="006E7A7B">
              <w:rPr>
                <w:rFonts w:ascii="Candara" w:hAnsi="Candara"/>
                <w:b w:val="0"/>
                <w:color w:val="000000"/>
                <w:sz w:val="22"/>
                <w:szCs w:val="22"/>
              </w:rPr>
              <w:t>.</w:t>
            </w:r>
          </w:p>
          <w:p w14:paraId="74D6F89A" w14:textId="05B445EE" w:rsidR="00C87523" w:rsidRPr="006E7A7B" w:rsidRDefault="00C87523" w:rsidP="006E7A7B">
            <w:pPr>
              <w:jc w:val="right"/>
              <w:rPr>
                <w:sz w:val="16"/>
                <w:szCs w:val="16"/>
              </w:rPr>
            </w:pPr>
            <w:r w:rsidRPr="006E7A7B">
              <w:t xml:space="preserve">                                   </w:t>
            </w:r>
            <w:r w:rsidR="009B258E" w:rsidRPr="006E7A7B">
              <w:t xml:space="preserve">            </w:t>
            </w:r>
            <w:r w:rsidRPr="006E7A7B">
              <w:t xml:space="preserve">    </w:t>
            </w:r>
            <w:r w:rsidR="009B258E" w:rsidRPr="006E7A7B">
              <w:rPr>
                <w:sz w:val="16"/>
                <w:szCs w:val="16"/>
              </w:rPr>
              <w:t xml:space="preserve">Rev.  </w:t>
            </w:r>
            <w:r w:rsidR="006849FA">
              <w:rPr>
                <w:sz w:val="16"/>
                <w:szCs w:val="16"/>
              </w:rPr>
              <w:t>August 2023</w:t>
            </w:r>
          </w:p>
          <w:p w14:paraId="188C8B09" w14:textId="77777777" w:rsidR="00764BF4" w:rsidRPr="006E7A7B" w:rsidRDefault="00764BF4" w:rsidP="000517CE"/>
        </w:tc>
      </w:tr>
    </w:tbl>
    <w:p w14:paraId="46A46649" w14:textId="77777777" w:rsidR="00AE2518" w:rsidRPr="00855607" w:rsidRDefault="00AE2518">
      <w:pPr>
        <w:pStyle w:val="NoSpacing"/>
        <w:rPr>
          <w:sz w:val="10"/>
          <w:szCs w:val="10"/>
        </w:rPr>
      </w:pPr>
    </w:p>
    <w:sectPr w:rsidR="00AE2518" w:rsidRPr="0085560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" w15:restartNumberingAfterBreak="0">
    <w:nsid w:val="1D073EC8"/>
    <w:multiLevelType w:val="multilevel"/>
    <w:tmpl w:val="74E04B86"/>
    <w:lvl w:ilvl="0">
      <w:start w:val="1"/>
      <w:numFmt w:val="bullet"/>
      <w:lvlText w:val=""/>
      <w:lvlJc w:val="left"/>
      <w:pPr>
        <w:ind w:left="-72" w:firstLine="72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BD4B83"/>
    <w:multiLevelType w:val="hybridMultilevel"/>
    <w:tmpl w:val="268298A8"/>
    <w:lvl w:ilvl="0" w:tplc="8CD2DC18">
      <w:start w:val="1"/>
      <w:numFmt w:val="bullet"/>
      <w:suff w:val="nothing"/>
      <w:lvlText w:val=""/>
      <w:lvlJc w:val="left"/>
      <w:pPr>
        <w:ind w:left="-288" w:firstLine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0D40"/>
    <w:multiLevelType w:val="hybridMultilevel"/>
    <w:tmpl w:val="0C741528"/>
    <w:lvl w:ilvl="0" w:tplc="B7EA3A1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325"/>
    <w:multiLevelType w:val="hybridMultilevel"/>
    <w:tmpl w:val="207E0DA4"/>
    <w:lvl w:ilvl="0" w:tplc="EFC2681A">
      <w:start w:val="1"/>
      <w:numFmt w:val="bullet"/>
      <w:suff w:val="space"/>
      <w:lvlText w:val=""/>
      <w:lvlJc w:val="left"/>
      <w:pPr>
        <w:ind w:left="144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2E63"/>
    <w:multiLevelType w:val="hybridMultilevel"/>
    <w:tmpl w:val="B35AF842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FE94D4C"/>
    <w:multiLevelType w:val="hybridMultilevel"/>
    <w:tmpl w:val="19EE1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2173A"/>
    <w:multiLevelType w:val="hybridMultilevel"/>
    <w:tmpl w:val="CA4A1FB8"/>
    <w:lvl w:ilvl="0" w:tplc="2F08CBEC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B2FF1"/>
    <w:multiLevelType w:val="hybridMultilevel"/>
    <w:tmpl w:val="D8D62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C4323"/>
    <w:multiLevelType w:val="hybridMultilevel"/>
    <w:tmpl w:val="C9B0ECD6"/>
    <w:lvl w:ilvl="0" w:tplc="D676FA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416"/>
    <w:multiLevelType w:val="hybridMultilevel"/>
    <w:tmpl w:val="4A6A16AE"/>
    <w:lvl w:ilvl="0" w:tplc="D676FA7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4BCF1B32"/>
    <w:multiLevelType w:val="hybridMultilevel"/>
    <w:tmpl w:val="4E625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D2DC18">
      <w:start w:val="1"/>
      <w:numFmt w:val="bullet"/>
      <w:suff w:val="nothing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31034"/>
    <w:multiLevelType w:val="hybridMultilevel"/>
    <w:tmpl w:val="349E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7BEC"/>
    <w:multiLevelType w:val="hybridMultilevel"/>
    <w:tmpl w:val="34983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2081D"/>
    <w:multiLevelType w:val="hybridMultilevel"/>
    <w:tmpl w:val="088AEF1A"/>
    <w:lvl w:ilvl="0" w:tplc="8CD2DC18">
      <w:start w:val="1"/>
      <w:numFmt w:val="bullet"/>
      <w:suff w:val="nothing"/>
      <w:lvlText w:val=""/>
      <w:lvlJc w:val="left"/>
      <w:pPr>
        <w:ind w:left="0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95A4008"/>
    <w:multiLevelType w:val="hybridMultilevel"/>
    <w:tmpl w:val="766A4D80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7FD43369"/>
    <w:multiLevelType w:val="hybridMultilevel"/>
    <w:tmpl w:val="E2D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577708">
    <w:abstractNumId w:val="0"/>
  </w:num>
  <w:num w:numId="2" w16cid:durableId="746147957">
    <w:abstractNumId w:val="0"/>
  </w:num>
  <w:num w:numId="3" w16cid:durableId="2042439394">
    <w:abstractNumId w:val="0"/>
    <w:lvlOverride w:ilvl="0">
      <w:startOverride w:val="1"/>
    </w:lvlOverride>
  </w:num>
  <w:num w:numId="4" w16cid:durableId="1712654460">
    <w:abstractNumId w:val="0"/>
    <w:lvlOverride w:ilvl="0">
      <w:startOverride w:val="1"/>
    </w:lvlOverride>
  </w:num>
  <w:num w:numId="5" w16cid:durableId="2031451080">
    <w:abstractNumId w:val="0"/>
    <w:lvlOverride w:ilvl="0">
      <w:startOverride w:val="1"/>
    </w:lvlOverride>
  </w:num>
  <w:num w:numId="6" w16cid:durableId="207839492">
    <w:abstractNumId w:val="12"/>
  </w:num>
  <w:num w:numId="7" w16cid:durableId="2139836262">
    <w:abstractNumId w:val="2"/>
  </w:num>
  <w:num w:numId="8" w16cid:durableId="344288563">
    <w:abstractNumId w:val="11"/>
  </w:num>
  <w:num w:numId="9" w16cid:durableId="594896912">
    <w:abstractNumId w:val="13"/>
  </w:num>
  <w:num w:numId="10" w16cid:durableId="247690556">
    <w:abstractNumId w:val="14"/>
  </w:num>
  <w:num w:numId="11" w16cid:durableId="1473137983">
    <w:abstractNumId w:val="1"/>
  </w:num>
  <w:num w:numId="12" w16cid:durableId="964459717">
    <w:abstractNumId w:val="8"/>
  </w:num>
  <w:num w:numId="13" w16cid:durableId="513807712">
    <w:abstractNumId w:val="4"/>
  </w:num>
  <w:num w:numId="14" w16cid:durableId="240527911">
    <w:abstractNumId w:val="3"/>
  </w:num>
  <w:num w:numId="15" w16cid:durableId="1480003370">
    <w:abstractNumId w:val="7"/>
  </w:num>
  <w:num w:numId="16" w16cid:durableId="349451031">
    <w:abstractNumId w:val="5"/>
  </w:num>
  <w:num w:numId="17" w16cid:durableId="1882356115">
    <w:abstractNumId w:val="16"/>
  </w:num>
  <w:num w:numId="18" w16cid:durableId="234634817">
    <w:abstractNumId w:val="6"/>
  </w:num>
  <w:num w:numId="19" w16cid:durableId="1276716956">
    <w:abstractNumId w:val="10"/>
  </w:num>
  <w:num w:numId="20" w16cid:durableId="1472138138">
    <w:abstractNumId w:val="9"/>
  </w:num>
  <w:num w:numId="21" w16cid:durableId="795441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F6"/>
    <w:rsid w:val="000045EA"/>
    <w:rsid w:val="0001517C"/>
    <w:rsid w:val="000305DF"/>
    <w:rsid w:val="00034D75"/>
    <w:rsid w:val="000517CE"/>
    <w:rsid w:val="00067298"/>
    <w:rsid w:val="00074422"/>
    <w:rsid w:val="0008107E"/>
    <w:rsid w:val="00083112"/>
    <w:rsid w:val="00083E05"/>
    <w:rsid w:val="000A2939"/>
    <w:rsid w:val="000E165D"/>
    <w:rsid w:val="000F0F14"/>
    <w:rsid w:val="000F1546"/>
    <w:rsid w:val="000F2437"/>
    <w:rsid w:val="000F6270"/>
    <w:rsid w:val="0010447E"/>
    <w:rsid w:val="00123A50"/>
    <w:rsid w:val="0012495A"/>
    <w:rsid w:val="00124CB5"/>
    <w:rsid w:val="0013780A"/>
    <w:rsid w:val="001425C1"/>
    <w:rsid w:val="00193B5C"/>
    <w:rsid w:val="001A40BB"/>
    <w:rsid w:val="001A49C8"/>
    <w:rsid w:val="001A6693"/>
    <w:rsid w:val="001C0C45"/>
    <w:rsid w:val="001E0499"/>
    <w:rsid w:val="001F79C8"/>
    <w:rsid w:val="00204661"/>
    <w:rsid w:val="002115D8"/>
    <w:rsid w:val="00211DA7"/>
    <w:rsid w:val="00216F14"/>
    <w:rsid w:val="002212C7"/>
    <w:rsid w:val="00223E48"/>
    <w:rsid w:val="002323DE"/>
    <w:rsid w:val="002326C4"/>
    <w:rsid w:val="00235B83"/>
    <w:rsid w:val="00237D92"/>
    <w:rsid w:val="00262879"/>
    <w:rsid w:val="00271F08"/>
    <w:rsid w:val="002736B7"/>
    <w:rsid w:val="00297228"/>
    <w:rsid w:val="002A31CC"/>
    <w:rsid w:val="002A6EB8"/>
    <w:rsid w:val="002E79A0"/>
    <w:rsid w:val="002F0FAD"/>
    <w:rsid w:val="003002A7"/>
    <w:rsid w:val="00300C72"/>
    <w:rsid w:val="00314901"/>
    <w:rsid w:val="00317CB5"/>
    <w:rsid w:val="00326896"/>
    <w:rsid w:val="00333C9C"/>
    <w:rsid w:val="00335B90"/>
    <w:rsid w:val="003400B8"/>
    <w:rsid w:val="00347875"/>
    <w:rsid w:val="003662E0"/>
    <w:rsid w:val="003713F6"/>
    <w:rsid w:val="0039045B"/>
    <w:rsid w:val="00395033"/>
    <w:rsid w:val="003B0B78"/>
    <w:rsid w:val="003C24A7"/>
    <w:rsid w:val="003C57C4"/>
    <w:rsid w:val="003E3A9D"/>
    <w:rsid w:val="003F2EDA"/>
    <w:rsid w:val="00403DC0"/>
    <w:rsid w:val="00414B8B"/>
    <w:rsid w:val="00420AF5"/>
    <w:rsid w:val="004254E3"/>
    <w:rsid w:val="00427F84"/>
    <w:rsid w:val="00461433"/>
    <w:rsid w:val="00467E53"/>
    <w:rsid w:val="0048071D"/>
    <w:rsid w:val="004812E1"/>
    <w:rsid w:val="00483403"/>
    <w:rsid w:val="00483DA0"/>
    <w:rsid w:val="004844EC"/>
    <w:rsid w:val="00491C85"/>
    <w:rsid w:val="00494D7D"/>
    <w:rsid w:val="004A37EC"/>
    <w:rsid w:val="004B47C9"/>
    <w:rsid w:val="004C4FD5"/>
    <w:rsid w:val="004C6C38"/>
    <w:rsid w:val="004E11C5"/>
    <w:rsid w:val="004E7C1A"/>
    <w:rsid w:val="004F0150"/>
    <w:rsid w:val="005073CE"/>
    <w:rsid w:val="0051187E"/>
    <w:rsid w:val="00524432"/>
    <w:rsid w:val="00533A78"/>
    <w:rsid w:val="00537E42"/>
    <w:rsid w:val="00541073"/>
    <w:rsid w:val="00592E3F"/>
    <w:rsid w:val="005A0D39"/>
    <w:rsid w:val="005A3C01"/>
    <w:rsid w:val="005C444A"/>
    <w:rsid w:val="005C55F9"/>
    <w:rsid w:val="005D5432"/>
    <w:rsid w:val="00601577"/>
    <w:rsid w:val="00611855"/>
    <w:rsid w:val="006123A3"/>
    <w:rsid w:val="00612A35"/>
    <w:rsid w:val="00613AF6"/>
    <w:rsid w:val="006418EC"/>
    <w:rsid w:val="00647EE0"/>
    <w:rsid w:val="00654F22"/>
    <w:rsid w:val="00654FF3"/>
    <w:rsid w:val="00664F7A"/>
    <w:rsid w:val="00667756"/>
    <w:rsid w:val="006701B8"/>
    <w:rsid w:val="00677FE4"/>
    <w:rsid w:val="006849FA"/>
    <w:rsid w:val="006A2AA4"/>
    <w:rsid w:val="006D045C"/>
    <w:rsid w:val="006E7A7B"/>
    <w:rsid w:val="006F197A"/>
    <w:rsid w:val="006F7963"/>
    <w:rsid w:val="007044FF"/>
    <w:rsid w:val="00711013"/>
    <w:rsid w:val="007377E1"/>
    <w:rsid w:val="00741D5E"/>
    <w:rsid w:val="007454F4"/>
    <w:rsid w:val="00763A98"/>
    <w:rsid w:val="00764BF4"/>
    <w:rsid w:val="00765841"/>
    <w:rsid w:val="007740E4"/>
    <w:rsid w:val="00782683"/>
    <w:rsid w:val="007B0445"/>
    <w:rsid w:val="007B1407"/>
    <w:rsid w:val="007C0239"/>
    <w:rsid w:val="007C176B"/>
    <w:rsid w:val="007C3554"/>
    <w:rsid w:val="007D71AB"/>
    <w:rsid w:val="008006D9"/>
    <w:rsid w:val="008208F4"/>
    <w:rsid w:val="00820BD7"/>
    <w:rsid w:val="008225C4"/>
    <w:rsid w:val="00842C3A"/>
    <w:rsid w:val="00855607"/>
    <w:rsid w:val="00862857"/>
    <w:rsid w:val="008638BC"/>
    <w:rsid w:val="00870289"/>
    <w:rsid w:val="008811C0"/>
    <w:rsid w:val="0088274B"/>
    <w:rsid w:val="008A07E7"/>
    <w:rsid w:val="008A66B8"/>
    <w:rsid w:val="008D4DE0"/>
    <w:rsid w:val="008E2176"/>
    <w:rsid w:val="00914C23"/>
    <w:rsid w:val="0093270D"/>
    <w:rsid w:val="009623D9"/>
    <w:rsid w:val="00962D2D"/>
    <w:rsid w:val="009631ED"/>
    <w:rsid w:val="009A18F0"/>
    <w:rsid w:val="009A26D5"/>
    <w:rsid w:val="009A3AFD"/>
    <w:rsid w:val="009B258E"/>
    <w:rsid w:val="009C253C"/>
    <w:rsid w:val="009D3D02"/>
    <w:rsid w:val="009D4A80"/>
    <w:rsid w:val="009E71FD"/>
    <w:rsid w:val="009F0EEC"/>
    <w:rsid w:val="00A01D48"/>
    <w:rsid w:val="00A11534"/>
    <w:rsid w:val="00A12267"/>
    <w:rsid w:val="00A33221"/>
    <w:rsid w:val="00A45CE9"/>
    <w:rsid w:val="00A62ED6"/>
    <w:rsid w:val="00A70E3E"/>
    <w:rsid w:val="00A73D0A"/>
    <w:rsid w:val="00A82DD7"/>
    <w:rsid w:val="00AA0785"/>
    <w:rsid w:val="00AA4578"/>
    <w:rsid w:val="00AB1D4A"/>
    <w:rsid w:val="00AB3D9F"/>
    <w:rsid w:val="00AB4446"/>
    <w:rsid w:val="00AC7538"/>
    <w:rsid w:val="00AD1164"/>
    <w:rsid w:val="00AE2518"/>
    <w:rsid w:val="00AF1E39"/>
    <w:rsid w:val="00B046DA"/>
    <w:rsid w:val="00B15C85"/>
    <w:rsid w:val="00B40BDB"/>
    <w:rsid w:val="00B518DA"/>
    <w:rsid w:val="00B52148"/>
    <w:rsid w:val="00B838F0"/>
    <w:rsid w:val="00B91EFD"/>
    <w:rsid w:val="00B964C4"/>
    <w:rsid w:val="00BA11DB"/>
    <w:rsid w:val="00BA2C6D"/>
    <w:rsid w:val="00BA478E"/>
    <w:rsid w:val="00BA6872"/>
    <w:rsid w:val="00BB1682"/>
    <w:rsid w:val="00BB63E1"/>
    <w:rsid w:val="00BD6D82"/>
    <w:rsid w:val="00BE5E83"/>
    <w:rsid w:val="00BF1CF1"/>
    <w:rsid w:val="00BF489B"/>
    <w:rsid w:val="00BF7095"/>
    <w:rsid w:val="00C05B1E"/>
    <w:rsid w:val="00C076C9"/>
    <w:rsid w:val="00C413B6"/>
    <w:rsid w:val="00C424ED"/>
    <w:rsid w:val="00C52769"/>
    <w:rsid w:val="00C61574"/>
    <w:rsid w:val="00C64729"/>
    <w:rsid w:val="00C65212"/>
    <w:rsid w:val="00C65B78"/>
    <w:rsid w:val="00C669F7"/>
    <w:rsid w:val="00C87523"/>
    <w:rsid w:val="00C94A24"/>
    <w:rsid w:val="00C96905"/>
    <w:rsid w:val="00CA2A34"/>
    <w:rsid w:val="00CA6DAD"/>
    <w:rsid w:val="00CB66BF"/>
    <w:rsid w:val="00CC5EA1"/>
    <w:rsid w:val="00CF383D"/>
    <w:rsid w:val="00D103D0"/>
    <w:rsid w:val="00D168DA"/>
    <w:rsid w:val="00D3584E"/>
    <w:rsid w:val="00D37FC6"/>
    <w:rsid w:val="00D440E3"/>
    <w:rsid w:val="00D61977"/>
    <w:rsid w:val="00D828FB"/>
    <w:rsid w:val="00DB0C2C"/>
    <w:rsid w:val="00DB2789"/>
    <w:rsid w:val="00DC6F14"/>
    <w:rsid w:val="00DD06F6"/>
    <w:rsid w:val="00DF7246"/>
    <w:rsid w:val="00E04A91"/>
    <w:rsid w:val="00E42C0C"/>
    <w:rsid w:val="00E53F96"/>
    <w:rsid w:val="00E60E94"/>
    <w:rsid w:val="00E71385"/>
    <w:rsid w:val="00EA7F54"/>
    <w:rsid w:val="00EB1653"/>
    <w:rsid w:val="00EB6273"/>
    <w:rsid w:val="00ED1C90"/>
    <w:rsid w:val="00ED7922"/>
    <w:rsid w:val="00ED7C9A"/>
    <w:rsid w:val="00EE00EB"/>
    <w:rsid w:val="00EE5424"/>
    <w:rsid w:val="00F02ECC"/>
    <w:rsid w:val="00F07BDE"/>
    <w:rsid w:val="00F2139E"/>
    <w:rsid w:val="00F22788"/>
    <w:rsid w:val="00F3598F"/>
    <w:rsid w:val="00F42FB7"/>
    <w:rsid w:val="00F43CCC"/>
    <w:rsid w:val="00F5310D"/>
    <w:rsid w:val="00F60049"/>
    <w:rsid w:val="00F72E13"/>
    <w:rsid w:val="00F7727D"/>
    <w:rsid w:val="00F83CDF"/>
    <w:rsid w:val="00F927D6"/>
    <w:rsid w:val="00F93AF7"/>
    <w:rsid w:val="00FB3E6C"/>
    <w:rsid w:val="00FB51BE"/>
    <w:rsid w:val="00FB7742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90F88"/>
  <w15:chartTrackingRefBased/>
  <w15:docId w15:val="{B1FDD054-43F7-404D-B8AA-D95AADE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color w:val="4D4436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link w:val="Heading2"/>
    <w:uiPriority w:val="1"/>
    <w:rPr>
      <w:rFonts w:ascii="Calibri" w:eastAsia="Times New Roman" w:hAnsi="Calibri" w:cs="Times New Roman"/>
      <w:b/>
      <w:bCs/>
      <w:color w:val="352F25"/>
      <w:sz w:val="2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27E6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link w:val="Footer"/>
    <w:uiPriority w:val="2"/>
    <w:rPr>
      <w:rFonts w:ascii="Cambria" w:eastAsia="Times New Roman" w:hAnsi="Cambria" w:cs="Times New Roman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</w:rPr>
  </w:style>
  <w:style w:type="character" w:customStyle="1" w:styleId="TitleChar">
    <w:name w:val="Title Char"/>
    <w:link w:val="Title"/>
    <w:uiPriority w:val="1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</w:rPr>
  </w:style>
  <w:style w:type="character" w:customStyle="1" w:styleId="SubtitleChar">
    <w:name w:val="Subtitle Char"/>
    <w:link w:val="Subtitle"/>
    <w:uiPriority w:val="1"/>
    <w:rPr>
      <w:i/>
      <w:iCs/>
      <w:color w:val="FFFFFF"/>
      <w:sz w:val="26"/>
    </w:rPr>
  </w:style>
  <w:style w:type="paragraph" w:styleId="NoSpacing">
    <w:name w:val="No Spacing"/>
    <w:uiPriority w:val="99"/>
    <w:qFormat/>
    <w:rPr>
      <w:color w:val="4D4436"/>
      <w:lang w:eastAsia="ja-JP"/>
    </w:rPr>
  </w:style>
  <w:style w:type="paragraph" w:styleId="Quote">
    <w:name w:val="Quote"/>
    <w:basedOn w:val="Normal"/>
    <w:next w:val="Normal"/>
    <w:link w:val="QuoteChar"/>
    <w:uiPriority w:val="1"/>
    <w:qFormat/>
    <w:rsid w:val="000045EA"/>
    <w:pPr>
      <w:pBdr>
        <w:top w:val="single" w:sz="4" w:space="14" w:color="0070C0"/>
        <w:bottom w:val="single" w:sz="4" w:space="14" w:color="0070C0"/>
      </w:pBdr>
      <w:spacing w:before="480" w:after="480" w:line="336" w:lineRule="auto"/>
    </w:pPr>
    <w:rPr>
      <w:i/>
      <w:iCs/>
      <w:color w:val="0070C0"/>
      <w:sz w:val="30"/>
    </w:rPr>
  </w:style>
  <w:style w:type="character" w:customStyle="1" w:styleId="QuoteChar">
    <w:name w:val="Quote Char"/>
    <w:link w:val="Quote"/>
    <w:uiPriority w:val="1"/>
    <w:rsid w:val="000045EA"/>
    <w:rPr>
      <w:i/>
      <w:iCs/>
      <w:color w:val="0070C0"/>
      <w:sz w:val="30"/>
    </w:rPr>
  </w:style>
  <w:style w:type="character" w:customStyle="1" w:styleId="Heading3Char">
    <w:name w:val="Heading 3 Char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5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character" w:styleId="Hyperlink">
    <w:name w:val="Hyperlink"/>
    <w:uiPriority w:val="99"/>
    <w:unhideWhenUsed/>
    <w:rsid w:val="00297228"/>
    <w:rPr>
      <w:color w:val="4D4436"/>
      <w:u w:val="single"/>
    </w:rPr>
  </w:style>
  <w:style w:type="paragraph" w:styleId="ListParagraph">
    <w:name w:val="List Paragraph"/>
    <w:basedOn w:val="Normal"/>
    <w:uiPriority w:val="34"/>
    <w:unhideWhenUsed/>
    <w:qFormat/>
    <w:rsid w:val="004F0150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F3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-SCC_EMP@pro.sccgov.org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bation.sccgov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probation.sccg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5506867-74B1-44AB-BA76-5368405EE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MONITORING PROGRAM</Company>
  <LinksUpToDate>false</LinksUpToDate>
  <CharactersWithSpaces>4284</CharactersWithSpaces>
  <SharedDoc>false</SharedDoc>
  <HLinks>
    <vt:vector size="12" baseType="variant"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https://www.sccgov.org/sites/probation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http://www.sccgov.org/sites/probation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Scheinin, Kate</dc:creator>
  <cp:keywords/>
  <cp:lastModifiedBy>Tran, Mai [DepProOfficer]</cp:lastModifiedBy>
  <cp:revision>4</cp:revision>
  <cp:lastPrinted>2023-05-16T19:10:00Z</cp:lastPrinted>
  <dcterms:created xsi:type="dcterms:W3CDTF">2023-08-22T16:06:00Z</dcterms:created>
  <dcterms:modified xsi:type="dcterms:W3CDTF">2023-10-19T14:51:00Z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